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A1" w:rsidRDefault="00153FA2">
      <w:pPr>
        <w:spacing w:line="240" w:lineRule="auto"/>
        <w:jc w:val="center"/>
        <w:rPr>
          <w:b/>
        </w:rPr>
      </w:pPr>
      <w:r>
        <w:rPr>
          <w:b/>
        </w:rPr>
        <w:t>DEPARTAMENTO DE PEDIATRÍA</w:t>
      </w:r>
    </w:p>
    <w:p w:rsidR="00153FA2" w:rsidRDefault="00153FA2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FA7BA1" w:rsidRDefault="00153FA2">
      <w:pPr>
        <w:spacing w:line="240" w:lineRule="auto"/>
        <w:jc w:val="center"/>
        <w:rPr>
          <w:b/>
        </w:rPr>
      </w:pPr>
      <w:r>
        <w:rPr>
          <w:b/>
        </w:rPr>
        <w:t>UNIVERSIDAD DE ANTIOQUIA</w:t>
      </w:r>
    </w:p>
    <w:p w:rsidR="00153FA2" w:rsidRDefault="00153FA2">
      <w:pPr>
        <w:spacing w:line="240" w:lineRule="auto"/>
        <w:jc w:val="center"/>
        <w:rPr>
          <w:b/>
        </w:rPr>
      </w:pPr>
      <w:r>
        <w:rPr>
          <w:b/>
        </w:rPr>
        <w:t>NEFROLOGÍA PEDIÁTRICA</w:t>
      </w:r>
    </w:p>
    <w:p w:rsidR="00153FA2" w:rsidRDefault="00153FA2">
      <w:pPr>
        <w:spacing w:line="240" w:lineRule="auto"/>
        <w:jc w:val="center"/>
      </w:pPr>
    </w:p>
    <w:p w:rsidR="00FA7BA1" w:rsidRDefault="00F13ACE">
      <w:pPr>
        <w:spacing w:line="240" w:lineRule="auto"/>
        <w:jc w:val="center"/>
      </w:pPr>
      <w:r>
        <w:rPr>
          <w:b/>
        </w:rPr>
        <w:t xml:space="preserve">ACTA </w:t>
      </w:r>
      <w:r w:rsidR="002C0B06">
        <w:rPr>
          <w:b/>
        </w:rPr>
        <w:t>N°5</w:t>
      </w:r>
    </w:p>
    <w:p w:rsidR="00FA7BA1" w:rsidRDefault="00FA7BA1">
      <w:pPr>
        <w:spacing w:line="240" w:lineRule="auto"/>
      </w:pPr>
    </w:p>
    <w:p w:rsidR="00FA7BA1" w:rsidRDefault="00F13ACE">
      <w:pPr>
        <w:spacing w:line="240" w:lineRule="auto"/>
      </w:pPr>
      <w:r>
        <w:t>Carácter:</w:t>
      </w:r>
      <w:r>
        <w:tab/>
      </w:r>
      <w:r w:rsidR="00045791">
        <w:t>O</w:t>
      </w:r>
      <w:r w:rsidR="005A1279">
        <w:t>rdinario</w:t>
      </w:r>
    </w:p>
    <w:p w:rsidR="00FA7BA1" w:rsidRDefault="00F13ACE">
      <w:pPr>
        <w:spacing w:line="240" w:lineRule="auto"/>
      </w:pPr>
      <w:r>
        <w:t xml:space="preserve">Fecha: </w:t>
      </w:r>
      <w:r>
        <w:tab/>
      </w:r>
      <w:r w:rsidR="002C0B06">
        <w:t>26</w:t>
      </w:r>
      <w:r w:rsidR="005A1279">
        <w:t xml:space="preserve"> de </w:t>
      </w:r>
      <w:r w:rsidR="002C0B06">
        <w:t>Septiembre</w:t>
      </w:r>
      <w:r w:rsidR="00DD3DE5">
        <w:t xml:space="preserve"> 2018</w:t>
      </w:r>
    </w:p>
    <w:p w:rsidR="00FA7BA1" w:rsidRDefault="00F13ACE">
      <w:pPr>
        <w:spacing w:line="240" w:lineRule="auto"/>
      </w:pPr>
      <w:r>
        <w:t xml:space="preserve">Lugar: </w:t>
      </w:r>
      <w:r>
        <w:tab/>
      </w:r>
      <w:r>
        <w:tab/>
      </w:r>
      <w:r w:rsidR="005A1279">
        <w:t>HPTU,</w:t>
      </w:r>
      <w:r w:rsidR="005001C5">
        <w:t xml:space="preserve"> </w:t>
      </w:r>
      <w:bookmarkStart w:id="0" w:name="_GoBack"/>
      <w:bookmarkEnd w:id="0"/>
      <w:r w:rsidR="005A1279">
        <w:t>oficina de Nefrología 9no piso</w:t>
      </w:r>
    </w:p>
    <w:p w:rsidR="00FA7BA1" w:rsidRDefault="00F13ACE">
      <w:pPr>
        <w:spacing w:line="240" w:lineRule="auto"/>
      </w:pPr>
      <w:r>
        <w:t xml:space="preserve">Hora: </w:t>
      </w:r>
      <w:r>
        <w:tab/>
      </w:r>
      <w:r>
        <w:tab/>
      </w:r>
      <w:r w:rsidR="005A1279">
        <w:t>08:00am</w:t>
      </w:r>
    </w:p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A7BA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13ACE">
            <w:pPr>
              <w:spacing w:line="240" w:lineRule="auto"/>
            </w:pPr>
            <w:r>
              <w:t xml:space="preserve"> </w:t>
            </w:r>
          </w:p>
        </w:tc>
      </w:tr>
      <w:tr w:rsidR="00FA7BA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A7BA1" w:rsidTr="005A1279">
        <w:trPr>
          <w:trHeight w:val="384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spacing w:line="240" w:lineRule="auto"/>
            </w:pPr>
          </w:p>
        </w:tc>
      </w:tr>
      <w:tr w:rsidR="00FA7BA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5A127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Juan </w:t>
            </w:r>
            <w:proofErr w:type="spellStart"/>
            <w:r>
              <w:rPr>
                <w:b/>
              </w:rPr>
              <w:t>Jose</w:t>
            </w:r>
            <w:proofErr w:type="spellEnd"/>
            <w:r>
              <w:rPr>
                <w:b/>
              </w:rPr>
              <w:t xml:space="preserve"> Vanegas Ruiz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5A1279">
            <w:pPr>
              <w:spacing w:line="240" w:lineRule="auto"/>
              <w:jc w:val="both"/>
            </w:pPr>
            <w:r>
              <w:t>Coordinador Académico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5A127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</w:tr>
      <w:tr w:rsidR="00FA7BA1" w:rsidTr="0050753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5A1279">
            <w:pPr>
              <w:spacing w:line="240" w:lineRule="auto"/>
              <w:jc w:val="both"/>
            </w:pPr>
            <w:r>
              <w:t>Catalina Vélez Echeverri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5A1279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5A127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</w:tr>
      <w:tr w:rsidR="0050753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07535" w:rsidRDefault="00507535">
            <w:pPr>
              <w:spacing w:line="240" w:lineRule="auto"/>
              <w:jc w:val="both"/>
            </w:pPr>
            <w:r>
              <w:t xml:space="preserve">Mayra </w:t>
            </w:r>
            <w:proofErr w:type="spellStart"/>
            <w:r>
              <w:t>Estevez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07535" w:rsidRDefault="00507535">
            <w:pPr>
              <w:spacing w:line="240" w:lineRule="auto"/>
              <w:jc w:val="both"/>
            </w:pPr>
            <w:r>
              <w:t>Residente de nefrología pediátrica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07535" w:rsidRDefault="0050753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07535" w:rsidRDefault="0050753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07535" w:rsidRDefault="0050753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</w:tbl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p w:rsidR="005A1279" w:rsidRPr="0012364C" w:rsidRDefault="00F13ACE">
      <w:pPr>
        <w:spacing w:line="240" w:lineRule="auto"/>
      </w:pPr>
      <w:r>
        <w:rPr>
          <w:b/>
        </w:rPr>
        <w:t xml:space="preserve">Orden del día: </w:t>
      </w:r>
    </w:p>
    <w:p w:rsidR="005A1279" w:rsidRPr="0012364C" w:rsidRDefault="00045791" w:rsidP="005A1279">
      <w:pPr>
        <w:pStyle w:val="Prrafodelista"/>
        <w:numPr>
          <w:ilvl w:val="0"/>
          <w:numId w:val="1"/>
        </w:numPr>
        <w:spacing w:line="240" w:lineRule="auto"/>
      </w:pPr>
      <w:r>
        <w:t xml:space="preserve">Modificación de cupos rotación de nefrología pediátrica </w:t>
      </w:r>
      <w:r w:rsidR="00507535">
        <w:t xml:space="preserve"> </w:t>
      </w:r>
      <w:r>
        <w:t xml:space="preserve">en </w:t>
      </w:r>
      <w:proofErr w:type="spellStart"/>
      <w:r>
        <w:t>Fresenius</w:t>
      </w:r>
      <w:proofErr w:type="spellEnd"/>
      <w:r>
        <w:t xml:space="preserve"> Medical </w:t>
      </w:r>
      <w:proofErr w:type="spellStart"/>
      <w:r>
        <w:t>Care</w:t>
      </w:r>
      <w:proofErr w:type="spellEnd"/>
      <w:r w:rsidR="00507535">
        <w:t xml:space="preserve"> unidades renales. </w:t>
      </w:r>
    </w:p>
    <w:p w:rsidR="005A1279" w:rsidRPr="0012364C" w:rsidRDefault="005A1279" w:rsidP="00194398">
      <w:pPr>
        <w:pStyle w:val="Prrafodelista"/>
        <w:spacing w:line="240" w:lineRule="auto"/>
        <w:ind w:left="643"/>
      </w:pPr>
    </w:p>
    <w:tbl>
      <w:tblPr>
        <w:tblStyle w:val="a0"/>
        <w:tblpPr w:leftFromText="141" w:rightFromText="141" w:vertAnchor="text" w:horzAnchor="margin" w:tblpY="13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194398" w:rsidTr="00194398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398" w:rsidRDefault="00194398" w:rsidP="00194398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398" w:rsidRDefault="00194398" w:rsidP="00194398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398" w:rsidRDefault="00194398" w:rsidP="00194398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194398" w:rsidTr="00194398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398" w:rsidRDefault="00045791" w:rsidP="00194398">
            <w:pPr>
              <w:widowControl w:val="0"/>
              <w:spacing w:line="240" w:lineRule="auto"/>
            </w:pPr>
            <w:r>
              <w:t>Juan José Vanegas</w:t>
            </w:r>
          </w:p>
          <w:p w:rsidR="00045791" w:rsidRDefault="00045791" w:rsidP="00194398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398" w:rsidRDefault="00045791" w:rsidP="00045791">
            <w:pPr>
              <w:widowControl w:val="0"/>
              <w:spacing w:line="240" w:lineRule="auto"/>
            </w:pPr>
            <w:r>
              <w:t xml:space="preserve">La comisión de docencia </w:t>
            </w:r>
            <w:r w:rsidR="00194398">
              <w:t xml:space="preserve"> </w:t>
            </w:r>
            <w:r>
              <w:t xml:space="preserve">servicio de la Facultad de Medicina ante la solicitud de la universidad CES de hacer convenio con la U de A nos pide autorización para los residentes de pediatría de dicha universidad puedan rotar en la Unidad renal de </w:t>
            </w:r>
            <w:proofErr w:type="spellStart"/>
            <w:r>
              <w:t>Fresenius</w:t>
            </w:r>
            <w:proofErr w:type="spellEnd"/>
            <w:r>
              <w:t xml:space="preserve"> Medical </w:t>
            </w:r>
            <w:proofErr w:type="spellStart"/>
            <w:r>
              <w:t>Care</w:t>
            </w:r>
            <w:proofErr w:type="spellEnd"/>
            <w:r>
              <w:t xml:space="preserve"> como lo hacen los de la  UPB con convenio con nuestra Universidad.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398" w:rsidRDefault="00045791" w:rsidP="00194398">
            <w:pPr>
              <w:widowControl w:val="0"/>
              <w:spacing w:line="240" w:lineRule="auto"/>
            </w:pPr>
            <w:r>
              <w:t>Es aprobada dicha solicitud</w:t>
            </w:r>
            <w:r w:rsidR="00194398">
              <w:t>.</w:t>
            </w:r>
          </w:p>
        </w:tc>
      </w:tr>
      <w:tr w:rsidR="00507535" w:rsidTr="00194398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535" w:rsidRDefault="00507535" w:rsidP="00194398">
            <w:pPr>
              <w:widowControl w:val="0"/>
              <w:spacing w:line="240" w:lineRule="auto"/>
            </w:pPr>
            <w:r>
              <w:lastRenderedPageBreak/>
              <w:t xml:space="preserve">Juan José Vanegas y Águeda Lucía Valencia </w:t>
            </w:r>
            <w:proofErr w:type="spellStart"/>
            <w:r>
              <w:t>Deossa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535" w:rsidRDefault="00507535" w:rsidP="005001C5">
            <w:pPr>
              <w:widowControl w:val="0"/>
              <w:spacing w:line="240" w:lineRule="auto"/>
            </w:pPr>
            <w:r>
              <w:t xml:space="preserve">La coordinadora de relaciones interinstitucionales de la facultad le comunica por escrito y </w:t>
            </w:r>
            <w:r w:rsidR="005001C5">
              <w:t>telefónicamente</w:t>
            </w:r>
            <w:r>
              <w:t xml:space="preserve"> al coordinador del programa la necesidad de ampliar los cupos en la rotación antes mencionada de uno a </w:t>
            </w:r>
            <w:r w:rsidR="005001C5">
              <w:t>d</w:t>
            </w:r>
            <w:r>
              <w:t>os residentes para que puedan rotar no solo los residentes del CES sino los residentes de la especialida</w:t>
            </w:r>
            <w:r w:rsidR="005001C5">
              <w:t>d</w:t>
            </w:r>
            <w:r>
              <w:t xml:space="preserve"> de nefrología pediátrica</w:t>
            </w:r>
            <w:r w:rsidR="005001C5">
              <w:t xml:space="preserve"> </w:t>
            </w:r>
            <w:r>
              <w:t>y/o adultos y los de pediatría como tal ya que el ad</w:t>
            </w:r>
            <w:r w:rsidR="005001C5">
              <w:t>m</w:t>
            </w:r>
            <w:r>
              <w:t xml:space="preserve">inistrador de </w:t>
            </w:r>
            <w:proofErr w:type="spellStart"/>
            <w:r>
              <w:t>Fresenius</w:t>
            </w:r>
            <w:proofErr w:type="spellEnd"/>
            <w:r>
              <w:t xml:space="preserve"> Unidad renal </w:t>
            </w:r>
            <w:r w:rsidR="005001C5">
              <w:t>dio</w:t>
            </w:r>
            <w:r>
              <w:t xml:space="preserve"> el visto bueno para ello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535" w:rsidRDefault="00507535" w:rsidP="00194398">
            <w:pPr>
              <w:widowControl w:val="0"/>
              <w:spacing w:line="240" w:lineRule="auto"/>
            </w:pPr>
            <w:r>
              <w:t>Es aprobado por unanimidad</w:t>
            </w:r>
          </w:p>
        </w:tc>
      </w:tr>
    </w:tbl>
    <w:p w:rsidR="005A1279" w:rsidRPr="0012364C" w:rsidRDefault="005A1279" w:rsidP="007A4CDE">
      <w:pPr>
        <w:spacing w:line="240" w:lineRule="auto"/>
        <w:ind w:left="283"/>
      </w:pPr>
    </w:p>
    <w:p w:rsidR="005A1279" w:rsidRDefault="005001C5" w:rsidP="005A1279">
      <w:pPr>
        <w:spacing w:line="240" w:lineRule="auto"/>
      </w:pPr>
      <w:r>
        <w:lastRenderedPageBreak/>
        <w:t xml:space="preserve">PD: Se envía esta </w:t>
      </w:r>
      <w:r w:rsidR="00507535">
        <w:t>ca</w:t>
      </w:r>
      <w:r>
        <w:t>r</w:t>
      </w:r>
      <w:r w:rsidR="00507535">
        <w:t>ta a la Coordinadora de Relaciones inte</w:t>
      </w:r>
      <w:r w:rsidR="00A1621B">
        <w:t>rinstitucionales de la facultad: docenciaserviciomedicina@udea.edu.co</w:t>
      </w:r>
    </w:p>
    <w:p w:rsidR="005A1279" w:rsidRDefault="005A1279" w:rsidP="005A1279">
      <w:pPr>
        <w:spacing w:line="240" w:lineRule="auto"/>
      </w:pPr>
    </w:p>
    <w:p w:rsidR="00FA7BA1" w:rsidRDefault="00FA7BA1">
      <w:pPr>
        <w:spacing w:line="240" w:lineRule="auto"/>
      </w:pPr>
    </w:p>
    <w:p w:rsidR="00153FA2" w:rsidRDefault="00153FA2">
      <w:pPr>
        <w:spacing w:line="240" w:lineRule="auto"/>
      </w:pPr>
    </w:p>
    <w:sectPr w:rsidR="00153F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F4398"/>
    <w:multiLevelType w:val="hybridMultilevel"/>
    <w:tmpl w:val="8C6220B8"/>
    <w:lvl w:ilvl="0" w:tplc="2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0AE5BDB"/>
    <w:multiLevelType w:val="hybridMultilevel"/>
    <w:tmpl w:val="EBACE8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7165"/>
    <w:multiLevelType w:val="hybridMultilevel"/>
    <w:tmpl w:val="AD5C26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1"/>
    <w:rsid w:val="00045791"/>
    <w:rsid w:val="0012364C"/>
    <w:rsid w:val="00153FA2"/>
    <w:rsid w:val="00194398"/>
    <w:rsid w:val="002C0B06"/>
    <w:rsid w:val="005001C5"/>
    <w:rsid w:val="00507535"/>
    <w:rsid w:val="005A1279"/>
    <w:rsid w:val="005D477D"/>
    <w:rsid w:val="007A4CDE"/>
    <w:rsid w:val="00964295"/>
    <w:rsid w:val="009D727B"/>
    <w:rsid w:val="00A1621B"/>
    <w:rsid w:val="00DD3DE5"/>
    <w:rsid w:val="00E75A5B"/>
    <w:rsid w:val="00F13ACE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A86260-E66B-447D-8484-E3E3C3AF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A1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carmenza</dc:creator>
  <cp:lastModifiedBy>carmeza</cp:lastModifiedBy>
  <cp:revision>6</cp:revision>
  <dcterms:created xsi:type="dcterms:W3CDTF">2018-10-03T14:52:00Z</dcterms:created>
  <dcterms:modified xsi:type="dcterms:W3CDTF">2018-10-03T15:21:00Z</dcterms:modified>
</cp:coreProperties>
</file>