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6D" w:rsidRDefault="00274D6D" w:rsidP="00274D6D">
      <w:pPr>
        <w:widowControl w:val="0"/>
        <w:spacing w:after="160" w:line="259" w:lineRule="auto"/>
        <w:ind w:left="708"/>
      </w:pPr>
      <w:r>
        <w:rPr>
          <w:rFonts w:ascii="Times New Roman" w:eastAsia="Times New Roman" w:hAnsi="Times New Roman" w:cs="Times New Roman"/>
          <w:b/>
          <w:sz w:val="24"/>
        </w:rPr>
        <w:t xml:space="preserve">Abreviaturas utilizadas. </w:t>
      </w:r>
    </w:p>
    <w:p w:rsidR="00274D6D" w:rsidRDefault="00274D6D" w:rsidP="00274D6D">
      <w:pPr>
        <w:widowControl w:val="0"/>
        <w:spacing w:after="160" w:line="259" w:lineRule="auto"/>
      </w:pPr>
    </w:p>
    <w:p w:rsidR="00274D6D" w:rsidRDefault="00274D6D" w:rsidP="00274D6D">
      <w:pPr>
        <w:widowControl w:val="0"/>
        <w:spacing w:after="160" w:line="259" w:lineRule="auto"/>
      </w:pPr>
      <w:r>
        <w:rPr>
          <w:rFonts w:ascii="Times New Roman" w:eastAsia="Times New Roman" w:hAnsi="Times New Roman" w:cs="Times New Roman"/>
          <w:b/>
          <w:sz w:val="24"/>
        </w:rPr>
        <w:t xml:space="preserve">C.P.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Constitución Política </w:t>
      </w:r>
    </w:p>
    <w:p w:rsidR="00274D6D" w:rsidRDefault="00274D6D" w:rsidP="00274D6D">
      <w:pPr>
        <w:widowControl w:val="0"/>
        <w:spacing w:after="160" w:line="259" w:lineRule="auto"/>
      </w:pPr>
      <w:r>
        <w:rPr>
          <w:rFonts w:ascii="Times New Roman" w:eastAsia="Times New Roman" w:hAnsi="Times New Roman" w:cs="Times New Roman"/>
          <w:b/>
          <w:sz w:val="24"/>
        </w:rPr>
        <w:t>L.</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Ley</w:t>
      </w:r>
    </w:p>
    <w:p w:rsidR="00274D6D" w:rsidRDefault="00274D6D" w:rsidP="00274D6D">
      <w:pPr>
        <w:widowControl w:val="0"/>
        <w:spacing w:after="160" w:line="259" w:lineRule="auto"/>
      </w:pPr>
      <w:proofErr w:type="spellStart"/>
      <w:r>
        <w:rPr>
          <w:rFonts w:ascii="Times New Roman" w:eastAsia="Times New Roman" w:hAnsi="Times New Roman" w:cs="Times New Roman"/>
          <w:b/>
          <w:sz w:val="24"/>
        </w:rPr>
        <w:t>Dec.L</w:t>
      </w:r>
      <w:proofErr w:type="spellEnd"/>
      <w:r>
        <w:rPr>
          <w:rFonts w:ascii="Times New Roman" w:eastAsia="Times New Roman" w:hAnsi="Times New Roman" w:cs="Times New Roman"/>
          <w:b/>
          <w:sz w:val="24"/>
        </w:rPr>
        <w:tab/>
        <w:t xml:space="preserve">: </w:t>
      </w:r>
      <w:r>
        <w:rPr>
          <w:rFonts w:ascii="Times New Roman" w:eastAsia="Times New Roman" w:hAnsi="Times New Roman" w:cs="Times New Roman"/>
          <w:sz w:val="24"/>
        </w:rPr>
        <w:t>Decreto Ley</w:t>
      </w:r>
    </w:p>
    <w:p w:rsidR="00274D6D" w:rsidRDefault="00274D6D" w:rsidP="00274D6D">
      <w:pPr>
        <w:widowControl w:val="0"/>
        <w:spacing w:after="160" w:line="259" w:lineRule="auto"/>
      </w:pPr>
      <w:proofErr w:type="spellStart"/>
      <w:r>
        <w:rPr>
          <w:rFonts w:ascii="Times New Roman" w:eastAsia="Times New Roman" w:hAnsi="Times New Roman" w:cs="Times New Roman"/>
          <w:b/>
          <w:sz w:val="24"/>
        </w:rPr>
        <w:t>Dec</w:t>
      </w:r>
      <w:proofErr w:type="spellEnd"/>
      <w:r>
        <w:rPr>
          <w:rFonts w:ascii="Times New Roman" w:eastAsia="Times New Roman" w:hAnsi="Times New Roman" w:cs="Times New Roman"/>
          <w:b/>
          <w:sz w:val="24"/>
        </w:rPr>
        <w:tab/>
        <w:t xml:space="preserve">: </w:t>
      </w:r>
      <w:r>
        <w:rPr>
          <w:rFonts w:ascii="Times New Roman" w:eastAsia="Times New Roman" w:hAnsi="Times New Roman" w:cs="Times New Roman"/>
          <w:sz w:val="24"/>
        </w:rPr>
        <w:t>Decreto</w:t>
      </w:r>
    </w:p>
    <w:p w:rsidR="00274D6D" w:rsidRDefault="00274D6D" w:rsidP="00274D6D">
      <w:pPr>
        <w:widowControl w:val="0"/>
        <w:spacing w:after="160" w:line="259" w:lineRule="auto"/>
      </w:pPr>
      <w:r>
        <w:rPr>
          <w:rFonts w:ascii="Times New Roman" w:eastAsia="Times New Roman" w:hAnsi="Times New Roman" w:cs="Times New Roman"/>
          <w:b/>
          <w:sz w:val="24"/>
        </w:rPr>
        <w:t>AS</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Acuerdo Superior </w:t>
      </w:r>
    </w:p>
    <w:p w:rsidR="00274D6D" w:rsidRDefault="00274D6D" w:rsidP="00274D6D">
      <w:pPr>
        <w:widowControl w:val="0"/>
        <w:spacing w:after="160" w:line="259" w:lineRule="auto"/>
      </w:pPr>
      <w:r>
        <w:rPr>
          <w:rFonts w:ascii="Times New Roman" w:eastAsia="Times New Roman" w:hAnsi="Times New Roman" w:cs="Times New Roman"/>
          <w:b/>
          <w:sz w:val="24"/>
        </w:rPr>
        <w:t>AA</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Acuerdo Académico</w:t>
      </w:r>
    </w:p>
    <w:p w:rsidR="00274D6D" w:rsidRDefault="00274D6D" w:rsidP="00274D6D">
      <w:pPr>
        <w:widowControl w:val="0"/>
        <w:spacing w:after="160" w:line="259" w:lineRule="auto"/>
      </w:pPr>
      <w:r>
        <w:rPr>
          <w:rFonts w:ascii="Times New Roman" w:eastAsia="Times New Roman" w:hAnsi="Times New Roman" w:cs="Times New Roman"/>
          <w:b/>
          <w:sz w:val="24"/>
        </w:rPr>
        <w:t>RS</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Resolución Superior </w:t>
      </w:r>
    </w:p>
    <w:p w:rsidR="00274D6D" w:rsidRDefault="00274D6D" w:rsidP="00274D6D">
      <w:pPr>
        <w:widowControl w:val="0"/>
        <w:spacing w:after="160" w:line="259" w:lineRule="auto"/>
      </w:pPr>
      <w:r>
        <w:rPr>
          <w:rFonts w:ascii="Times New Roman" w:eastAsia="Times New Roman" w:hAnsi="Times New Roman" w:cs="Times New Roman"/>
          <w:b/>
          <w:sz w:val="24"/>
        </w:rPr>
        <w:t>RA</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Resolución Académica </w:t>
      </w:r>
    </w:p>
    <w:p w:rsidR="00274D6D" w:rsidRDefault="00274D6D" w:rsidP="00274D6D">
      <w:pPr>
        <w:widowControl w:val="0"/>
        <w:spacing w:after="160" w:line="259" w:lineRule="auto"/>
      </w:pPr>
      <w:r>
        <w:rPr>
          <w:rFonts w:ascii="Times New Roman" w:eastAsia="Times New Roman" w:hAnsi="Times New Roman" w:cs="Times New Roman"/>
          <w:b/>
          <w:sz w:val="24"/>
        </w:rPr>
        <w:t>RR</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Resolución Rectoral </w:t>
      </w:r>
    </w:p>
    <w:p w:rsidR="00274D6D" w:rsidRDefault="00274D6D" w:rsidP="00274D6D">
      <w:pPr>
        <w:widowControl w:val="0"/>
        <w:spacing w:after="160" w:line="259" w:lineRule="auto"/>
      </w:pPr>
      <w:r>
        <w:rPr>
          <w:rFonts w:ascii="Times New Roman" w:eastAsia="Times New Roman" w:hAnsi="Times New Roman" w:cs="Times New Roman"/>
          <w:b/>
          <w:sz w:val="24"/>
        </w:rPr>
        <w:t>CR</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Circular Rectoral </w:t>
      </w:r>
    </w:p>
    <w:p w:rsidR="00274D6D" w:rsidRDefault="00274D6D" w:rsidP="00274D6D">
      <w:pPr>
        <w:widowControl w:val="0"/>
        <w:spacing w:after="160" w:line="259" w:lineRule="auto"/>
      </w:pPr>
      <w:r>
        <w:rPr>
          <w:rFonts w:ascii="Times New Roman" w:eastAsia="Times New Roman" w:hAnsi="Times New Roman" w:cs="Times New Roman"/>
          <w:b/>
          <w:sz w:val="24"/>
        </w:rPr>
        <w:t>DR</w:t>
      </w:r>
      <w:r>
        <w:rPr>
          <w:rFonts w:ascii="Times New Roman" w:eastAsia="Times New Roman" w:hAnsi="Times New Roman" w:cs="Times New Roman"/>
          <w:sz w:val="24"/>
        </w:rPr>
        <w:tab/>
        <w:t xml:space="preserve">: Directiva Rectoral </w:t>
      </w:r>
    </w:p>
    <w:p w:rsidR="00274D6D" w:rsidRDefault="00274D6D" w:rsidP="00274D6D">
      <w:pPr>
        <w:widowControl w:val="0"/>
        <w:spacing w:after="160" w:line="259" w:lineRule="auto"/>
      </w:pPr>
      <w:r>
        <w:rPr>
          <w:rFonts w:ascii="Times New Roman" w:eastAsia="Times New Roman" w:hAnsi="Times New Roman" w:cs="Times New Roman"/>
          <w:b/>
          <w:sz w:val="24"/>
        </w:rPr>
        <w:t>Art.</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Artículo </w:t>
      </w: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center"/>
      </w:pPr>
      <w:r>
        <w:rPr>
          <w:rFonts w:ascii="Times New Roman" w:eastAsia="Times New Roman" w:hAnsi="Times New Roman" w:cs="Times New Roman"/>
          <w:b/>
          <w:color w:val="auto"/>
          <w:sz w:val="24"/>
        </w:rPr>
        <w:lastRenderedPageBreak/>
        <w:t>Versión actualizada p</w:t>
      </w:r>
      <w:r w:rsidR="009F7D5E">
        <w:rPr>
          <w:rFonts w:ascii="Times New Roman" w:eastAsia="Times New Roman" w:hAnsi="Times New Roman" w:cs="Times New Roman"/>
          <w:b/>
          <w:color w:val="auto"/>
          <w:sz w:val="24"/>
        </w:rPr>
        <w:t>or la Secretaría General a  diciembre de 2015</w:t>
      </w:r>
      <w:bookmarkStart w:id="0" w:name="_GoBack"/>
      <w:bookmarkEnd w:id="0"/>
    </w:p>
    <w:p w:rsidR="00274D6D" w:rsidRDefault="00274D6D" w:rsidP="00274D6D">
      <w:pPr>
        <w:spacing w:after="0"/>
        <w:jc w:val="center"/>
        <w:rPr>
          <w:rFonts w:ascii="Times New Roman" w:eastAsia="Times New Roman" w:hAnsi="Times New Roman" w:cs="Times New Roman"/>
          <w:b/>
          <w:sz w:val="24"/>
        </w:rPr>
      </w:pPr>
    </w:p>
    <w:p w:rsidR="00274D6D" w:rsidRDefault="00274D6D" w:rsidP="00274D6D">
      <w:pPr>
        <w:spacing w:after="0"/>
        <w:jc w:val="center"/>
        <w:rPr>
          <w:rFonts w:ascii="Times New Roman" w:eastAsia="Times New Roman" w:hAnsi="Times New Roman" w:cs="Times New Roman"/>
          <w:b/>
          <w:sz w:val="24"/>
        </w:rPr>
      </w:pPr>
    </w:p>
    <w:p w:rsidR="00274D6D" w:rsidRDefault="00274D6D" w:rsidP="00274D6D">
      <w:pPr>
        <w:spacing w:after="0"/>
        <w:jc w:val="center"/>
      </w:pPr>
      <w:r>
        <w:rPr>
          <w:rFonts w:ascii="Times New Roman" w:eastAsia="Times New Roman" w:hAnsi="Times New Roman" w:cs="Times New Roman"/>
          <w:b/>
          <w:sz w:val="24"/>
        </w:rPr>
        <w:t>ACUERDO SUPERIOR 173</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13 DE JULIO DE 2000</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POR EL CUAL SE EXPIDE EL SISTEMA DE BIENESTAR UNIVERSITARIO DE LA UNIVERSIDAD DE ANTIOQUIA.</w:t>
      </w:r>
    </w:p>
    <w:p w:rsidR="00274D6D" w:rsidRDefault="00274D6D" w:rsidP="00274D6D">
      <w:pPr>
        <w:spacing w:after="0"/>
        <w:jc w:val="center"/>
      </w:pPr>
    </w:p>
    <w:p w:rsidR="00274D6D" w:rsidRDefault="00274D6D" w:rsidP="00274D6D">
      <w:pPr>
        <w:spacing w:after="0"/>
        <w:jc w:val="center"/>
      </w:pPr>
    </w:p>
    <w:p w:rsidR="00274D6D" w:rsidRDefault="00274D6D" w:rsidP="00274D6D">
      <w:pPr>
        <w:spacing w:after="0"/>
        <w:jc w:val="both"/>
      </w:pPr>
      <w:r>
        <w:rPr>
          <w:rFonts w:ascii="Times New Roman" w:eastAsia="Times New Roman" w:hAnsi="Times New Roman" w:cs="Times New Roman"/>
          <w:sz w:val="24"/>
        </w:rPr>
        <w:t xml:space="preserve">El Consejo Superior Universitario, en uso de sus atribuciones legales y estatutarias, en especial las establecidas en el literal b del artículo 33, en el artículo 38, y en el Título Séptimo del </w:t>
      </w:r>
      <w:hyperlink r:id="rId5">
        <w:r>
          <w:rPr>
            <w:rFonts w:ascii="Times New Roman" w:eastAsia="Times New Roman" w:hAnsi="Times New Roman" w:cs="Times New Roman"/>
            <w:sz w:val="24"/>
          </w:rPr>
          <w:t>Estatuto General de la Universidad</w:t>
        </w:r>
      </w:hyperlink>
      <w:r>
        <w:rPr>
          <w:rFonts w:ascii="Times New Roman" w:eastAsia="Times New Roman" w:hAnsi="Times New Roman" w:cs="Times New Roman"/>
          <w:sz w:val="24"/>
        </w:rPr>
        <w:t>, </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ACUERDA</w:t>
      </w:r>
      <w:r>
        <w:rPr>
          <w:rFonts w:ascii="Times New Roman" w:eastAsia="Times New Roman" w:hAnsi="Times New Roman" w:cs="Times New Roman"/>
          <w:sz w:val="24"/>
        </w:rPr>
        <w:t>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1.</w:t>
      </w:r>
      <w:r>
        <w:rPr>
          <w:rFonts w:ascii="Times New Roman" w:eastAsia="Times New Roman" w:hAnsi="Times New Roman" w:cs="Times New Roman"/>
          <w:sz w:val="24"/>
        </w:rPr>
        <w:t> Expedir el Sistema de Bienestar Universitario en los términos del presente Acuerdo.</w:t>
      </w:r>
    </w:p>
    <w:p w:rsidR="00274D6D" w:rsidRDefault="00274D6D" w:rsidP="00274D6D">
      <w:pPr>
        <w:spacing w:after="0"/>
        <w:jc w:val="both"/>
      </w:pP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TÍTULO PRIMERO</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MARCO FILOSÓFICO DE BIENESTAR UNIVERSITARIO</w:t>
      </w:r>
    </w:p>
    <w:p w:rsidR="00274D6D" w:rsidRDefault="00274D6D" w:rsidP="00274D6D">
      <w:pPr>
        <w:spacing w:after="0"/>
        <w:jc w:val="center"/>
      </w:pP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MISIÓN DE BIENESTAR UNIVERSITARIO</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2.</w:t>
      </w:r>
      <w:r>
        <w:rPr>
          <w:rFonts w:ascii="Times New Roman" w:eastAsia="Times New Roman" w:hAnsi="Times New Roman" w:cs="Times New Roman"/>
          <w:sz w:val="24"/>
        </w:rPr>
        <w:t> Según el Estatuto General de la Universidad de Antioquia, el bienestar universitario se concibe así: "Cada uno de los miembros del personal universitario, en el ejercicio de su función educativa, es sujeto responsable de su propio bienestar y punto de partida para que se difunda a su alrededor; el proceso dinámico que de ahí se genera propicia interacciones en múltiples direcciones y en diversos campos posibles en la universidad, lo que ha de revertir en beneficios para un bienestar pleno e integral".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sz w:val="24"/>
        </w:rPr>
        <w:t>El bienestar universitario contribuye a la formación integral, estimula las capacidades de los grupos y de las personas de la Universidad, los apoya mediante el desarrollo de programas que integren el trabajo y el estudio con los proyectos de vida, en un contexto participativo y pluralista.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sz w:val="24"/>
        </w:rPr>
        <w:t>Desde esta perspectiva, el Sistema de Bienestar Universitario genera condiciones institucionales ético-pedagógicas que faciliten la convivencia y la tolerancia entre los miembros de la comunidad, y trasciendan los ámbitos académico y laboral. </w:t>
      </w:r>
    </w:p>
    <w:p w:rsidR="00274D6D" w:rsidRDefault="00274D6D" w:rsidP="00274D6D">
      <w:pPr>
        <w:spacing w:after="0"/>
        <w:jc w:val="both"/>
      </w:pPr>
    </w:p>
    <w:p w:rsidR="00274D6D" w:rsidRDefault="00274D6D" w:rsidP="00274D6D">
      <w:pPr>
        <w:spacing w:after="0"/>
        <w:jc w:val="both"/>
      </w:pPr>
    </w:p>
    <w:p w:rsidR="00274D6D" w:rsidRDefault="00274D6D" w:rsidP="00274D6D">
      <w:pPr>
        <w:spacing w:after="0"/>
        <w:jc w:val="center"/>
      </w:pPr>
      <w:r>
        <w:rPr>
          <w:rFonts w:ascii="Times New Roman" w:eastAsia="Times New Roman" w:hAnsi="Times New Roman" w:cs="Times New Roman"/>
          <w:b/>
          <w:sz w:val="24"/>
        </w:rPr>
        <w:t>CAPÍTULO II</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PRINCIPIOS DE BIENESTAR UNIVERSITARIO</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3.</w:t>
      </w:r>
      <w:r>
        <w:rPr>
          <w:rFonts w:ascii="Times New Roman" w:eastAsia="Times New Roman" w:hAnsi="Times New Roman" w:cs="Times New Roman"/>
          <w:sz w:val="24"/>
        </w:rPr>
        <w:t> Serán principios del bienestar universitario: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 Universalidad.</w:t>
      </w:r>
      <w:r>
        <w:rPr>
          <w:rFonts w:ascii="Times New Roman" w:eastAsia="Times New Roman" w:hAnsi="Times New Roman" w:cs="Times New Roman"/>
          <w:sz w:val="24"/>
        </w:rPr>
        <w:t> La comunidad universitaria podrá acceder, sin discriminación, a los programas y servicios de bienestar universitario, según la normatividad de la Institución.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 Reciprocidad.</w:t>
      </w:r>
      <w:r>
        <w:rPr>
          <w:rFonts w:ascii="Times New Roman" w:eastAsia="Times New Roman" w:hAnsi="Times New Roman" w:cs="Times New Roman"/>
          <w:sz w:val="24"/>
        </w:rPr>
        <w:t> Las políticas y programas de bienestar se proyectarán de tal manera que contribuyan al mejoramiento de las actividades desarrolladas en la docencia, la investigación y la extensión y, a su vez, éstas retroalimenten el Sistema de Bienestar Universitario.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c. Integralidad.</w:t>
      </w:r>
      <w:r>
        <w:rPr>
          <w:rFonts w:ascii="Times New Roman" w:eastAsia="Times New Roman" w:hAnsi="Times New Roman" w:cs="Times New Roman"/>
          <w:sz w:val="24"/>
        </w:rPr>
        <w:t> Los planes, programas, proyectos y actividades se articularán con la misión institucional.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 Solidaridad.</w:t>
      </w:r>
      <w:r>
        <w:rPr>
          <w:rFonts w:ascii="Times New Roman" w:eastAsia="Times New Roman" w:hAnsi="Times New Roman" w:cs="Times New Roman"/>
          <w:sz w:val="24"/>
        </w:rPr>
        <w:t> Los programas de bienestar se dirigen hacia todas las personas y grupos de la comunidad universitaria, y se dará prioridad a los sectores más vulnerables. </w:t>
      </w:r>
    </w:p>
    <w:p w:rsidR="00274D6D" w:rsidRDefault="00274D6D" w:rsidP="00274D6D">
      <w:pPr>
        <w:spacing w:after="0"/>
        <w:jc w:val="both"/>
      </w:pPr>
    </w:p>
    <w:p w:rsidR="00274D6D" w:rsidRDefault="00274D6D" w:rsidP="00274D6D">
      <w:pPr>
        <w:spacing w:after="0"/>
        <w:jc w:val="both"/>
      </w:pP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III</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POLÍTICA DE BIENESTAR UNIVERSITARIO</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4:</w:t>
      </w:r>
      <w:r>
        <w:rPr>
          <w:rFonts w:ascii="Times New Roman" w:eastAsia="Times New Roman" w:hAnsi="Times New Roman" w:cs="Times New Roman"/>
          <w:sz w:val="24"/>
        </w:rPr>
        <w:t> En un marco universal, y en un proceso de articulación con las diferentes dependencias académicas, administrativas y de apoyo a la gestión de la Universidad, Bienestar Universitario buscará mejores condiciones para el desarrollo integral de los miembros de la comunidad universitaria, orientadas a elevar la calidad de vida de sus miembros, al cultivo de la armonía con los semejantes, y al respeto por el medio que los rodea. </w:t>
      </w:r>
      <w:r>
        <w:rPr>
          <w:rFonts w:ascii="Times New Roman" w:eastAsia="Times New Roman" w:hAnsi="Times New Roman" w:cs="Times New Roman"/>
          <w:sz w:val="24"/>
        </w:rPr>
        <w:br/>
      </w:r>
      <w:r>
        <w:rPr>
          <w:rFonts w:ascii="Times New Roman" w:eastAsia="Times New Roman" w:hAnsi="Times New Roman" w:cs="Times New Roman"/>
          <w:sz w:val="24"/>
        </w:rPr>
        <w:br/>
        <w:t>Para el efecto, ofrecerá un conjunto de programas y actividades dirigidos al desarrollo intelectual, académico, afectivo, social y físico de la comunidad universitaria. </w:t>
      </w:r>
    </w:p>
    <w:p w:rsidR="00274D6D" w:rsidRDefault="00274D6D" w:rsidP="00274D6D">
      <w:pPr>
        <w:spacing w:after="0"/>
        <w:jc w:val="both"/>
      </w:pPr>
      <w:r>
        <w:rPr>
          <w:rFonts w:ascii="Times New Roman" w:eastAsia="Times New Roman" w:hAnsi="Times New Roman" w:cs="Times New Roman"/>
          <w:sz w:val="24"/>
        </w:rPr>
        <w:lastRenderedPageBreak/>
        <w:br/>
      </w:r>
      <w:r>
        <w:rPr>
          <w:rFonts w:ascii="Times New Roman" w:eastAsia="Times New Roman" w:hAnsi="Times New Roman" w:cs="Times New Roman"/>
          <w:sz w:val="24"/>
        </w:rPr>
        <w:br/>
        <w:t>Igualmente, impulsará el surgimiento de procesos dinámicos de interacción que propiciarán el sentido de pertenencia a la Institución, y una cultura de la convivencia y de la integración entre sus miembros. </w:t>
      </w:r>
    </w:p>
    <w:p w:rsidR="00274D6D" w:rsidRDefault="00274D6D" w:rsidP="00274D6D">
      <w:pPr>
        <w:spacing w:after="0"/>
        <w:jc w:val="both"/>
      </w:pPr>
      <w:r>
        <w:rPr>
          <w:rFonts w:ascii="Times New Roman" w:eastAsia="Times New Roman" w:hAnsi="Times New Roman" w:cs="Times New Roman"/>
          <w:sz w:val="24"/>
        </w:rPr>
        <w:br/>
        <w:t>De la misma manera, contribuirá a estimular una relación responsable de interdependencia con la naturaleza, en la perspectiva del logro de un ambiente favorable para la vida. </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IV</w:t>
      </w:r>
    </w:p>
    <w:p w:rsidR="00274D6D" w:rsidRDefault="00274D6D" w:rsidP="00274D6D">
      <w:pPr>
        <w:spacing w:after="0"/>
        <w:jc w:val="center"/>
      </w:pPr>
    </w:p>
    <w:p w:rsidR="00274D6D" w:rsidRDefault="00274D6D" w:rsidP="00274D6D">
      <w:pPr>
        <w:spacing w:after="0"/>
        <w:jc w:val="center"/>
      </w:pPr>
      <w:r>
        <w:rPr>
          <w:rFonts w:ascii="Times New Roman" w:eastAsia="Times New Roman" w:hAnsi="Times New Roman" w:cs="Times New Roman"/>
          <w:b/>
          <w:sz w:val="24"/>
        </w:rPr>
        <w:t>OBJETIVOS</w:t>
      </w:r>
      <w:r>
        <w:rPr>
          <w:rFonts w:ascii="Times New Roman" w:eastAsia="Times New Roman" w:hAnsi="Times New Roman" w:cs="Times New Roman"/>
          <w:sz w:val="24"/>
        </w:rPr>
        <w:t>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5. Objetivo General.</w:t>
      </w:r>
      <w:r>
        <w:rPr>
          <w:rFonts w:ascii="Times New Roman" w:eastAsia="Times New Roman" w:hAnsi="Times New Roman" w:cs="Times New Roman"/>
          <w:sz w:val="24"/>
        </w:rPr>
        <w:t> Contribuir a la formación integral de las personas mediante la ejecución de programas que mejoren sus condiciones y generen procesos de cambio institucionales, colectivos e individuales, y que se integren en la vida académica, laboral y personal.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6. Objetivos específicos:</w:t>
      </w:r>
      <w:r>
        <w:rPr>
          <w:rFonts w:ascii="Times New Roman" w:eastAsia="Times New Roman" w:hAnsi="Times New Roman" w:cs="Times New Roman"/>
          <w:sz w:val="24"/>
        </w:rPr>
        <w:t>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w:t>
      </w:r>
      <w:r>
        <w:rPr>
          <w:rFonts w:ascii="Times New Roman" w:eastAsia="Times New Roman" w:hAnsi="Times New Roman" w:cs="Times New Roman"/>
          <w:sz w:val="24"/>
        </w:rPr>
        <w:t> Fortalecer la integración del trabajo y del estudio con los proyectos de vida.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Fomentar, entre los miembros de la comunidad universitaria, los valores de convivencia, respeto, solidaridad y vínculos de pertenencia a la vida institucional.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xml:space="preserve"> Establecer programas de promoción de la </w:t>
      </w:r>
      <w:r>
        <w:rPr>
          <w:rFonts w:ascii="Times New Roman" w:eastAsia="Times New Roman" w:hAnsi="Times New Roman" w:cs="Times New Roman"/>
          <w:b/>
          <w:sz w:val="24"/>
        </w:rPr>
        <w:t>s</w:t>
      </w:r>
      <w:r>
        <w:rPr>
          <w:rFonts w:ascii="Times New Roman" w:eastAsia="Times New Roman" w:hAnsi="Times New Roman" w:cs="Times New Roman"/>
          <w:sz w:val="24"/>
        </w:rPr>
        <w:t>alud y prevención de la enfermedad, con el fin de mejorar la calidad de vida personal, colectiva e institucional.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 </w:t>
      </w:r>
      <w:r>
        <w:rPr>
          <w:rFonts w:ascii="Times New Roman" w:eastAsia="Times New Roman" w:hAnsi="Times New Roman" w:cs="Times New Roman"/>
          <w:sz w:val="24"/>
        </w:rPr>
        <w:t>Estimular el desarrollo de sólidos procesos de integración entre los individuos, grupos y organizaciones que forman parte de la comunidad universitaria.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e.</w:t>
      </w:r>
      <w:r>
        <w:rPr>
          <w:rFonts w:ascii="Times New Roman" w:eastAsia="Times New Roman" w:hAnsi="Times New Roman" w:cs="Times New Roman"/>
          <w:sz w:val="24"/>
        </w:rPr>
        <w:t> Colaborar en la orientación vocacional y profesional de las personas que conforman la comunidad universitaria.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f.</w:t>
      </w:r>
      <w:r>
        <w:rPr>
          <w:rFonts w:ascii="Times New Roman" w:eastAsia="Times New Roman" w:hAnsi="Times New Roman" w:cs="Times New Roman"/>
          <w:sz w:val="24"/>
        </w:rPr>
        <w:t> Prestar apoyo a los grupos académicos, artísticos, culturales, deportivos y de crecimiento humano, para consolidar procesos de integración.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g.</w:t>
      </w:r>
      <w:r>
        <w:rPr>
          <w:rFonts w:ascii="Times New Roman" w:eastAsia="Times New Roman" w:hAnsi="Times New Roman" w:cs="Times New Roman"/>
          <w:sz w:val="24"/>
        </w:rPr>
        <w:t> Estructurar un plan de acción con la finalidad de desarrollar los programas de bienestar, mediante un trabajo conjunto con las diferentes dependencias de la Institución, en el campo del deporte, la salud, la cultura y el crecimiento humano. </w:t>
      </w:r>
    </w:p>
    <w:p w:rsidR="00274D6D" w:rsidRDefault="00274D6D" w:rsidP="00274D6D">
      <w:pPr>
        <w:spacing w:after="0"/>
        <w:jc w:val="center"/>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TÍTULO SEGUNDO</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MODALIDADES DEL BIENESTAR</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ÚNICO</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7.</w:t>
      </w:r>
      <w:r>
        <w:rPr>
          <w:rFonts w:ascii="Times New Roman" w:eastAsia="Times New Roman" w:hAnsi="Times New Roman" w:cs="Times New Roman"/>
          <w:sz w:val="24"/>
        </w:rPr>
        <w:t> Las modalidades del bienestar universitario estarán determinadas por la misión institucional, los grupos de la comunidad a la que se dirigen, y el tipo de vinculación de las personas con la universidad.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8.</w:t>
      </w:r>
      <w:r>
        <w:rPr>
          <w:rFonts w:ascii="Times New Roman" w:eastAsia="Times New Roman" w:hAnsi="Times New Roman" w:cs="Times New Roman"/>
          <w:sz w:val="24"/>
        </w:rPr>
        <w:t> Son modalidades propias del bienestar las siguientes: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 Bienestar Estudiantil.</w:t>
      </w:r>
      <w:r>
        <w:rPr>
          <w:rFonts w:ascii="Times New Roman" w:eastAsia="Times New Roman" w:hAnsi="Times New Roman" w:cs="Times New Roman"/>
          <w:sz w:val="24"/>
        </w:rPr>
        <w:t> Conformado por programas y proyectos en salud física y mental, deportivos y culturales, con énfasis en lo preventivo; se orientan a estimular el desarrollo científico y sociocultural, y forman a los estudiantes, en el ámbito académico, en una dimensión integral y de proyección social.</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b. Bienestar Laboral.</w:t>
      </w:r>
      <w:r>
        <w:rPr>
          <w:rFonts w:ascii="Times New Roman" w:eastAsia="Times New Roman" w:hAnsi="Times New Roman" w:cs="Times New Roman"/>
          <w:sz w:val="24"/>
        </w:rPr>
        <w:t> Conformado por programas y proyectos en salud física y mental, deportivos y culturales, con énfasis en lo preventivo; se orientan al mejoramiento del clima organizacional y de la calidad de vida de los funcionarios y de los jubilados de la Universidad. </w:t>
      </w:r>
    </w:p>
    <w:p w:rsidR="00274D6D" w:rsidRDefault="00274D6D" w:rsidP="00274D6D">
      <w:pPr>
        <w:spacing w:after="0"/>
        <w:jc w:val="both"/>
      </w:pPr>
    </w:p>
    <w:p w:rsidR="00274D6D" w:rsidRDefault="00274D6D" w:rsidP="00274D6D">
      <w:pPr>
        <w:spacing w:after="0"/>
        <w:jc w:val="both"/>
      </w:pPr>
    </w:p>
    <w:p w:rsidR="00274D6D" w:rsidRDefault="00274D6D" w:rsidP="00274D6D">
      <w:pPr>
        <w:spacing w:after="0"/>
        <w:jc w:val="center"/>
      </w:pPr>
      <w:r>
        <w:rPr>
          <w:rFonts w:ascii="Times New Roman" w:eastAsia="Times New Roman" w:hAnsi="Times New Roman" w:cs="Times New Roman"/>
          <w:color w:val="FFC000"/>
          <w:sz w:val="24"/>
        </w:rPr>
        <w:br/>
      </w:r>
      <w:r>
        <w:rPr>
          <w:rFonts w:ascii="Times New Roman" w:eastAsia="Times New Roman" w:hAnsi="Times New Roman" w:cs="Times New Roman"/>
          <w:b/>
          <w:sz w:val="24"/>
        </w:rPr>
        <w:t>TÍTULO TERCERO</w:t>
      </w:r>
    </w:p>
    <w:p w:rsidR="00274D6D" w:rsidRDefault="00274D6D" w:rsidP="00274D6D">
      <w:pPr>
        <w:spacing w:after="0"/>
        <w:jc w:val="center"/>
      </w:pPr>
    </w:p>
    <w:p w:rsidR="00274D6D" w:rsidRDefault="00274D6D" w:rsidP="00274D6D">
      <w:pPr>
        <w:spacing w:after="0"/>
        <w:jc w:val="center"/>
      </w:pPr>
      <w:r>
        <w:rPr>
          <w:rFonts w:ascii="Times New Roman" w:eastAsia="Times New Roman" w:hAnsi="Times New Roman" w:cs="Times New Roman"/>
          <w:b/>
          <w:sz w:val="24"/>
        </w:rPr>
        <w:t>ESTRUCTURA ORGANIZACIONAL DEL BIENESTAR UNIVERSITARIO</w:t>
      </w:r>
    </w:p>
    <w:p w:rsidR="00274D6D" w:rsidRDefault="00274D6D" w:rsidP="00274D6D">
      <w:pPr>
        <w:spacing w:after="0"/>
        <w:jc w:val="center"/>
      </w:pP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COMPONENTES DEL SISTEMA</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9. </w:t>
      </w:r>
      <w:r>
        <w:rPr>
          <w:rFonts w:ascii="Times New Roman" w:eastAsia="Times New Roman" w:hAnsi="Times New Roman" w:cs="Times New Roman"/>
          <w:sz w:val="24"/>
        </w:rPr>
        <w:t>La estructura organizacional de Bienestar Universitario estará compuesta por: el Comité de Bienestar Universitario, el Director de Bienestar, el Asistente de Bienestar, los Departamentos de Promoción de la Salud y Prevención de la Enfermedad, Desarrollo Humano, Deportes, por los Comités de Coordinadores de Bienestar, del Fondo Patrimonial de Bienestar, y todos aquellos que se reglamenten internamente.</w:t>
      </w:r>
    </w:p>
    <w:p w:rsidR="00274D6D" w:rsidRDefault="00274D6D" w:rsidP="00274D6D">
      <w:pPr>
        <w:spacing w:after="0"/>
        <w:jc w:val="both"/>
      </w:pPr>
      <w:r>
        <w:rPr>
          <w:rFonts w:ascii="Times New Roman" w:eastAsia="Times New Roman" w:hAnsi="Times New Roman" w:cs="Times New Roman"/>
          <w:color w:val="7030A0"/>
          <w:sz w:val="24"/>
        </w:rPr>
        <w:br/>
      </w:r>
      <w:r>
        <w:rPr>
          <w:rFonts w:ascii="Times New Roman" w:eastAsia="Times New Roman" w:hAnsi="Times New Roman" w:cs="Times New Roman"/>
          <w:b/>
          <w:sz w:val="24"/>
        </w:rPr>
        <w:t>Artículo 10. </w:t>
      </w:r>
      <w:r>
        <w:rPr>
          <w:rFonts w:ascii="Times New Roman" w:eastAsia="Times New Roman" w:hAnsi="Times New Roman" w:cs="Times New Roman"/>
          <w:sz w:val="24"/>
        </w:rPr>
        <w:t xml:space="preserve">El Comité de Bienestar Universitario estará conformado así: el Director de </w:t>
      </w:r>
      <w:r>
        <w:rPr>
          <w:rFonts w:ascii="Times New Roman" w:eastAsia="Times New Roman" w:hAnsi="Times New Roman" w:cs="Times New Roman"/>
          <w:sz w:val="24"/>
        </w:rPr>
        <w:lastRenderedPageBreak/>
        <w:t>Bienestar Universitario quien lo preside; los representantes de los coordinadores de bienestar por cada área; los Vicerrectores de Extensión, Docencia, Investigación, o sus delegados; el Director de Regionalización o su delegado; un representante profesoral, un representante de los no docentes, un representante estudiantil, y el asistente de la dirección quien actuará como secretario. Este comité sesionará cuando sea convocado por el Director de Bienestar Universitario, y sus funciones serán las siguientes: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 </w:t>
      </w:r>
      <w:r>
        <w:rPr>
          <w:rFonts w:ascii="Times New Roman" w:eastAsia="Times New Roman" w:hAnsi="Times New Roman" w:cs="Times New Roman"/>
          <w:sz w:val="24"/>
        </w:rPr>
        <w:t>Desarrollar labores de consultoría, asesoría y seguimiento de las políticas y programas que adelanta la dirección.</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Asesorar al Director en la elaboración del presupuesto.</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Analizar el funcionamiento de los programas, proyectos y actividades del Sistema de Bienestar Universitario, y evaluar su efectividad.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w:t>
      </w:r>
      <w:r>
        <w:rPr>
          <w:rFonts w:ascii="Times New Roman" w:eastAsia="Times New Roman" w:hAnsi="Times New Roman" w:cs="Times New Roman"/>
          <w:sz w:val="24"/>
        </w:rPr>
        <w:t> Identificar las necesidades de bienestar en la Universidad, para asesorar al Director en la formulación del plan de acción.</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e.</w:t>
      </w:r>
      <w:r>
        <w:rPr>
          <w:rFonts w:ascii="Times New Roman" w:eastAsia="Times New Roman" w:hAnsi="Times New Roman" w:cs="Times New Roman"/>
          <w:sz w:val="24"/>
        </w:rPr>
        <w:t> Establecer mecanismos de evaluación y control en los procesos del Sistema de Bienestar. </w:t>
      </w:r>
      <w:r>
        <w:rPr>
          <w:rFonts w:ascii="Times New Roman" w:eastAsia="Times New Roman" w:hAnsi="Times New Roman" w:cs="Times New Roman"/>
          <w:color w:val="38761D"/>
          <w:sz w:val="20"/>
        </w:rPr>
        <w:t>.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Parágrafo.</w:t>
      </w:r>
      <w:r>
        <w:rPr>
          <w:rFonts w:ascii="Times New Roman" w:eastAsia="Times New Roman" w:hAnsi="Times New Roman" w:cs="Times New Roman"/>
          <w:sz w:val="24"/>
        </w:rPr>
        <w:t> De conformidad con el artículo 38 del </w:t>
      </w:r>
      <w:hyperlink r:id="rId6">
        <w:r>
          <w:rPr>
            <w:rFonts w:ascii="Times New Roman" w:eastAsia="Times New Roman" w:hAnsi="Times New Roman" w:cs="Times New Roman"/>
            <w:sz w:val="24"/>
          </w:rPr>
          <w:t>Estatuto General</w:t>
        </w:r>
      </w:hyperlink>
      <w:r>
        <w:rPr>
          <w:rFonts w:ascii="Times New Roman" w:eastAsia="Times New Roman" w:hAnsi="Times New Roman" w:cs="Times New Roman"/>
          <w:sz w:val="24"/>
        </w:rPr>
        <w:t>, el Consejo Académico reglamentará este Comité, previa recomendación de la Dirección de Bienestar Universitario, y determinará el procedimiento para elegir al representante de los coordinadores, al profesoral, al no docente y al estudiantil. </w:t>
      </w:r>
    </w:p>
    <w:p w:rsidR="00274D6D" w:rsidRDefault="00274D6D" w:rsidP="00274D6D">
      <w:pPr>
        <w:spacing w:after="0"/>
        <w:jc w:val="both"/>
      </w:pPr>
      <w:r>
        <w:rPr>
          <w:rFonts w:ascii="Times New Roman" w:eastAsia="Times New Roman" w:hAnsi="Times New Roman" w:cs="Times New Roman"/>
          <w:color w:val="FF0000"/>
          <w:sz w:val="24"/>
        </w:rPr>
        <w:br/>
      </w:r>
      <w:r>
        <w:rPr>
          <w:rFonts w:ascii="Times New Roman" w:eastAsia="Times New Roman" w:hAnsi="Times New Roman" w:cs="Times New Roman"/>
          <w:b/>
          <w:sz w:val="24"/>
        </w:rPr>
        <w:t>Artículo 11.</w:t>
      </w:r>
      <w:r>
        <w:rPr>
          <w:rFonts w:ascii="Times New Roman" w:eastAsia="Times New Roman" w:hAnsi="Times New Roman" w:cs="Times New Roman"/>
          <w:sz w:val="24"/>
        </w:rPr>
        <w:t> El Director de Bienestar Universitario tendrá las siguientes funciones: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Desarrollar las políticas del bienestar en la Universidad, según las directrices institucionales.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Dirigir y coordinar la elaboración y ejecución del plan de acción del Sistema de Bienestar, articulándolo e integrándolo con el Plan de Desarrollo Institucional.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Administrar los recursos, planes, programas y proyectos del sistema.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color w:val="FFC000"/>
          <w:sz w:val="24"/>
        </w:rPr>
        <w:br/>
      </w:r>
      <w:r>
        <w:rPr>
          <w:rFonts w:ascii="Times New Roman" w:eastAsia="Times New Roman" w:hAnsi="Times New Roman" w:cs="Times New Roman"/>
          <w:b/>
          <w:sz w:val="24"/>
        </w:rPr>
        <w:t>d.</w:t>
      </w:r>
      <w:r>
        <w:rPr>
          <w:rFonts w:ascii="Times New Roman" w:eastAsia="Times New Roman" w:hAnsi="Times New Roman" w:cs="Times New Roman"/>
          <w:sz w:val="24"/>
        </w:rPr>
        <w:t> Gestionar la consecución de recursos y las formas de financiación para los programas de la dirección.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lastRenderedPageBreak/>
        <w:t>e.</w:t>
      </w:r>
      <w:r>
        <w:rPr>
          <w:rFonts w:ascii="Times New Roman" w:eastAsia="Times New Roman" w:hAnsi="Times New Roman" w:cs="Times New Roman"/>
          <w:sz w:val="24"/>
        </w:rPr>
        <w:t> Establecer mecanismos de participación de los estamentos universitarios en los programas y proyectos de bienestar, y asesorar a las unidades académicas y administrativas en la estructuración de los últimos.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f.</w:t>
      </w:r>
      <w:r>
        <w:rPr>
          <w:rFonts w:ascii="Times New Roman" w:eastAsia="Times New Roman" w:hAnsi="Times New Roman" w:cs="Times New Roman"/>
          <w:sz w:val="24"/>
        </w:rPr>
        <w:t> Diseñar y promover estrategias para divulgar y difundir, en las diferentes dependencias, los programas y actividades del sistema.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g.</w:t>
      </w:r>
      <w:r>
        <w:rPr>
          <w:rFonts w:ascii="Times New Roman" w:eastAsia="Times New Roman" w:hAnsi="Times New Roman" w:cs="Times New Roman"/>
          <w:sz w:val="24"/>
        </w:rPr>
        <w:t> Promover la consolidación del bienestar universitario en las sedes regionales.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h.</w:t>
      </w:r>
      <w:r>
        <w:rPr>
          <w:rFonts w:ascii="Times New Roman" w:eastAsia="Times New Roman" w:hAnsi="Times New Roman" w:cs="Times New Roman"/>
          <w:sz w:val="24"/>
        </w:rPr>
        <w:t> Presentar, ante otras instancias directivas, los informes de gestión y el balance social de Bienestar Universitario.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i.</w:t>
      </w:r>
      <w:r>
        <w:rPr>
          <w:rFonts w:ascii="Times New Roman" w:eastAsia="Times New Roman" w:hAnsi="Times New Roman" w:cs="Times New Roman"/>
          <w:sz w:val="24"/>
        </w:rPr>
        <w:t> Realizar actividades de elaboración, control y ejecución presupuestal de los programas y fondos a cargo de la Dirección de Bienestar. </w:t>
      </w:r>
    </w:p>
    <w:p w:rsidR="00274D6D" w:rsidRDefault="00274D6D" w:rsidP="00274D6D">
      <w:pPr>
        <w:spacing w:after="0"/>
        <w:jc w:val="both"/>
      </w:pPr>
      <w:r>
        <w:rPr>
          <w:rFonts w:ascii="Times New Roman" w:eastAsia="Times New Roman" w:hAnsi="Times New Roman" w:cs="Times New Roman"/>
          <w:color w:val="FFC000"/>
          <w:sz w:val="24"/>
        </w:rPr>
        <w:br/>
      </w:r>
      <w:r>
        <w:rPr>
          <w:rFonts w:ascii="Times New Roman" w:eastAsia="Times New Roman" w:hAnsi="Times New Roman" w:cs="Times New Roman"/>
          <w:b/>
          <w:sz w:val="24"/>
        </w:rPr>
        <w:t>j.</w:t>
      </w:r>
      <w:r>
        <w:rPr>
          <w:rFonts w:ascii="Times New Roman" w:eastAsia="Times New Roman" w:hAnsi="Times New Roman" w:cs="Times New Roman"/>
          <w:sz w:val="24"/>
        </w:rPr>
        <w:t> Coordinar el Comité de Bienestar y participar en los diferentes órganos de dirección.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k.</w:t>
      </w:r>
      <w:r>
        <w:rPr>
          <w:rFonts w:ascii="Times New Roman" w:eastAsia="Times New Roman" w:hAnsi="Times New Roman" w:cs="Times New Roman"/>
          <w:sz w:val="24"/>
        </w:rPr>
        <w:t> Las demás funciones que le asigne la autoridad competente.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12.</w:t>
      </w:r>
      <w:r>
        <w:rPr>
          <w:rFonts w:ascii="Times New Roman" w:eastAsia="Times New Roman" w:hAnsi="Times New Roman" w:cs="Times New Roman"/>
          <w:sz w:val="24"/>
        </w:rPr>
        <w:t> El Asistente de la Dirección tendrá las siguientes funciones: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Reemplazar al Director de Bienestar en las ausencias temporales de éste.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b.</w:t>
      </w:r>
      <w:r>
        <w:rPr>
          <w:rFonts w:ascii="Times New Roman" w:eastAsia="Times New Roman" w:hAnsi="Times New Roman" w:cs="Times New Roman"/>
          <w:sz w:val="24"/>
        </w:rPr>
        <w:t> Apoyar, gestionar e impulsar el Sistema de Bienestar Universitario en las sedes regionales.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Coordinar la elaboración de diferentes medios de divulgación y promoción de los programas de la Dirección de Bienestar.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d.</w:t>
      </w:r>
      <w:r>
        <w:rPr>
          <w:rFonts w:ascii="Times New Roman" w:eastAsia="Times New Roman" w:hAnsi="Times New Roman" w:cs="Times New Roman"/>
          <w:sz w:val="24"/>
        </w:rPr>
        <w:t> Colaborar con la Dirección en los estudios para evaluar y proponer ajustes o modificaciones a los planes y a los programas de bienestar.</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e.</w:t>
      </w:r>
      <w:r>
        <w:rPr>
          <w:rFonts w:ascii="Times New Roman" w:eastAsia="Times New Roman" w:hAnsi="Times New Roman" w:cs="Times New Roman"/>
          <w:sz w:val="24"/>
        </w:rPr>
        <w:t> Cumplir con las funciones que el Director de Bienestar Universitario le asigne.</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13.</w:t>
      </w:r>
      <w:r>
        <w:rPr>
          <w:rFonts w:ascii="Times New Roman" w:eastAsia="Times New Roman" w:hAnsi="Times New Roman" w:cs="Times New Roman"/>
          <w:sz w:val="24"/>
        </w:rPr>
        <w:t> Los Departamentos de Promoción de la Salud y Prevención de la Enfermedad, Desarrollo Humano, y Deportes, se encargarán de la ejecución de las políticas y programas de bienestar. </w:t>
      </w:r>
    </w:p>
    <w:p w:rsidR="00274D6D" w:rsidRDefault="00274D6D" w:rsidP="00274D6D">
      <w:pPr>
        <w:spacing w:after="0"/>
        <w:jc w:val="both"/>
      </w:pPr>
      <w:r>
        <w:rPr>
          <w:rFonts w:ascii="Times New Roman" w:eastAsia="Times New Roman" w:hAnsi="Times New Roman" w:cs="Times New Roman"/>
          <w:b/>
          <w:sz w:val="24"/>
        </w:rPr>
        <w:br/>
        <w:t>Artículo 14.</w:t>
      </w:r>
      <w:r>
        <w:rPr>
          <w:rFonts w:ascii="Times New Roman" w:eastAsia="Times New Roman" w:hAnsi="Times New Roman" w:cs="Times New Roman"/>
          <w:sz w:val="24"/>
        </w:rPr>
        <w:t> El Comité de Coordinadores de Bienestar, conformado por el Director de Bienestar y por los coordinadores de cada dependencia, tendrá las siguientes funciones: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lastRenderedPageBreak/>
        <w:t>a.</w:t>
      </w:r>
      <w:r>
        <w:rPr>
          <w:rFonts w:ascii="Times New Roman" w:eastAsia="Times New Roman" w:hAnsi="Times New Roman" w:cs="Times New Roman"/>
          <w:sz w:val="24"/>
        </w:rPr>
        <w:t> Programar, ejecutar y evaluar conjuntamente los programas de bienestar en cada dependencia.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Proponer programas propios en cada dependencia, acordes con las políticas de bienestar.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Participar en la coordinación que demanda la ejecución de los programas en la dependencia.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d.</w:t>
      </w:r>
      <w:r>
        <w:rPr>
          <w:rFonts w:ascii="Times New Roman" w:eastAsia="Times New Roman" w:hAnsi="Times New Roman" w:cs="Times New Roman"/>
          <w:sz w:val="24"/>
        </w:rPr>
        <w:t> Divulgar, en las respectivas dependencias, los diferentes programas aprobados por la Dirección de Bienestar.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e. </w:t>
      </w:r>
      <w:r>
        <w:rPr>
          <w:rFonts w:ascii="Times New Roman" w:eastAsia="Times New Roman" w:hAnsi="Times New Roman" w:cs="Times New Roman"/>
          <w:sz w:val="24"/>
        </w:rPr>
        <w:t>Contribuir al fortalecimiento de la red de apoyo de los coordinadores de bienestar.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f.</w:t>
      </w:r>
      <w:r>
        <w:rPr>
          <w:rFonts w:ascii="Times New Roman" w:eastAsia="Times New Roman" w:hAnsi="Times New Roman" w:cs="Times New Roman"/>
          <w:sz w:val="24"/>
        </w:rPr>
        <w:t> Fortalecer el Sistema de Bienestar Universitario en la Universidad.</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Parágrafo: </w:t>
      </w:r>
      <w:r>
        <w:rPr>
          <w:rFonts w:ascii="Times New Roman" w:eastAsia="Times New Roman" w:hAnsi="Times New Roman" w:cs="Times New Roman"/>
          <w:sz w:val="24"/>
        </w:rPr>
        <w:t xml:space="preserve">Para dar cumplimiento al Acuerdo Superior  </w:t>
      </w:r>
      <w:hyperlink r:id="rId7">
        <w:r>
          <w:rPr>
            <w:rFonts w:ascii="Times New Roman" w:eastAsia="Times New Roman" w:hAnsi="Times New Roman" w:cs="Times New Roman"/>
            <w:sz w:val="24"/>
          </w:rPr>
          <w:t>057</w:t>
        </w:r>
      </w:hyperlink>
      <w:hyperlink r:id="rId8">
        <w:r>
          <w:rPr>
            <w:rFonts w:ascii="Times New Roman" w:eastAsia="Times New Roman" w:hAnsi="Times New Roman" w:cs="Times New Roman"/>
            <w:sz w:val="24"/>
          </w:rPr>
          <w:t>/</w:t>
        </w:r>
      </w:hyperlink>
      <w:hyperlink r:id="rId9">
        <w:r>
          <w:rPr>
            <w:rFonts w:ascii="Times New Roman" w:eastAsia="Times New Roman" w:hAnsi="Times New Roman" w:cs="Times New Roman"/>
            <w:sz w:val="24"/>
          </w:rPr>
          <w:t>1995</w:t>
        </w:r>
      </w:hyperlink>
      <w:r>
        <w:rPr>
          <w:rFonts w:ascii="Times New Roman" w:eastAsia="Times New Roman" w:hAnsi="Times New Roman" w:cs="Times New Roman"/>
          <w:sz w:val="24"/>
        </w:rPr>
        <w:t>, en cada dependencia deberá designarse a una persona para que realice las funciones de coordinador de bienestar, preferiblemente un profesor, quien incluiría éstas en su plan de trabajo. En caso de que no ocurra así, se deberá tener en cuenta el artículo 5 del citado acuerdo. </w:t>
      </w:r>
    </w:p>
    <w:p w:rsidR="00274D6D" w:rsidRDefault="00274D6D" w:rsidP="00274D6D">
      <w:pPr>
        <w:spacing w:after="0"/>
        <w:jc w:val="both"/>
      </w:pP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II</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DEPARTAMENTOS Y PROGRAMAS ADSCRITOS A LA DIRECCIÓN DE BIENESTAR UNIVERSITARIO</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15.</w:t>
      </w:r>
      <w:r>
        <w:rPr>
          <w:rFonts w:ascii="Times New Roman" w:eastAsia="Times New Roman" w:hAnsi="Times New Roman" w:cs="Times New Roman"/>
          <w:sz w:val="24"/>
        </w:rPr>
        <w:t> La Dirección de Bienestar Universitario estará constituida por los siguientes departamentos: Promoción de la Salud y Prevención de la Enfermedad, Desarrollo Humano, y Deportes.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DEPARTAMENTO DE PROMOCION DE LA SALUD Y PREVENCIÓN DE LA ENFERMEDAD.</w:t>
      </w:r>
      <w:r>
        <w:rPr>
          <w:rFonts w:ascii="Times New Roman" w:eastAsia="Times New Roman" w:hAnsi="Times New Roman" w:cs="Times New Roman"/>
          <w:sz w:val="24"/>
        </w:rPr>
        <w:t>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16.</w:t>
      </w:r>
      <w:r>
        <w:rPr>
          <w:rFonts w:ascii="Times New Roman" w:eastAsia="Times New Roman" w:hAnsi="Times New Roman" w:cs="Times New Roman"/>
          <w:sz w:val="24"/>
        </w:rPr>
        <w:t> El Departamento de Promoción de la Salud y Prevención de la Enfermedad orientará sus acciones al fomento y a la promoción de hábitos y estilos de vida saludables, y a la prevención de enfermedades, situaciones críticas y factores de riesgo de la población universitaria.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17.</w:t>
      </w:r>
      <w:r>
        <w:rPr>
          <w:rFonts w:ascii="Times New Roman" w:eastAsia="Times New Roman" w:hAnsi="Times New Roman" w:cs="Times New Roman"/>
          <w:sz w:val="24"/>
        </w:rPr>
        <w:t xml:space="preserve"> Las acciones de promoción de la salud y de prevención de la enfermedad dirigidas a los estudiantes procurarán el mejoramiento permanente de las condiciones psíquicas, físicas y ambientales; asimismo, las acciones de promoción de la salud y </w:t>
      </w:r>
      <w:r>
        <w:rPr>
          <w:rFonts w:ascii="Times New Roman" w:eastAsia="Times New Roman" w:hAnsi="Times New Roman" w:cs="Times New Roman"/>
          <w:sz w:val="24"/>
        </w:rPr>
        <w:lastRenderedPageBreak/>
        <w:t>prevención de la enfermedad dirigidas a los servidores de la Institución complementarán los programas de beneficios, propios de su vinculación con el sistema general de seguridad social en salud.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18.</w:t>
      </w:r>
      <w:r>
        <w:rPr>
          <w:rFonts w:ascii="Times New Roman" w:eastAsia="Times New Roman" w:hAnsi="Times New Roman" w:cs="Times New Roman"/>
          <w:sz w:val="24"/>
        </w:rPr>
        <w:t> Serán objetivos del Departamento de Promoción de la Salud y Prevención de la Enfermedad, entre otros, los siguientes: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Contribuir a mejorar las condiciones de salud de todos los miembros de la comunidad universitaria, mediante acciones individuales y colectivas que enfaticen en la promoción de la salud y en la prevención de la enfermedad.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Desarrollar programas de promoción de la salud y prevención de la enfermedad, fundamentados en el diagnóstico de salud de la población universitaria, y apoyados en los resultados de estudios realizados.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Propiciar la adecuada prestación de los servicios asistenciales en salud a la población estudiantil, de conformidad con la legislación vigente.</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w:t>
      </w:r>
      <w:r>
        <w:rPr>
          <w:rFonts w:ascii="Times New Roman" w:eastAsia="Times New Roman" w:hAnsi="Times New Roman" w:cs="Times New Roman"/>
          <w:sz w:val="24"/>
        </w:rPr>
        <w:t> Fomentar el desarrollo de hábitos y estilos de vida saludables y procesos de autocuidado, a partir de la responsabilidad individual y social compartida.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19.</w:t>
      </w:r>
      <w:r>
        <w:rPr>
          <w:rFonts w:ascii="Times New Roman" w:eastAsia="Times New Roman" w:hAnsi="Times New Roman" w:cs="Times New Roman"/>
          <w:sz w:val="24"/>
        </w:rPr>
        <w:t> Para el cumplimiento de sus objetivos, el Departamento de Promoción de la Salud y Prevención de la Enfermedad estructurará internamente, entre otros, programas en los siguientes campos: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 Promoción de la salud:</w:t>
      </w:r>
      <w:r>
        <w:rPr>
          <w:rFonts w:ascii="Times New Roman" w:eastAsia="Times New Roman" w:hAnsi="Times New Roman" w:cs="Times New Roman"/>
          <w:sz w:val="24"/>
        </w:rPr>
        <w:t> Desarrolla programas dirigidos a toda la población universitaria, relacionados con la adquisición de hábitos y estilos de vida saludables tanto individuales como grupales.</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 Prevención de la enfermedad.</w:t>
      </w:r>
      <w:r>
        <w:rPr>
          <w:rFonts w:ascii="Times New Roman" w:eastAsia="Times New Roman" w:hAnsi="Times New Roman" w:cs="Times New Roman"/>
          <w:sz w:val="24"/>
        </w:rPr>
        <w:t> Está conformado por los programas de prevención primaria, secundaria y terciaria, orientados a identificar y a controlar riesgos específicos ligados con la herencia, la condición física individual y el medio ambiente, y que puedan deteriorar el estado de salud, y disminuir, consecuentemente, el rendimiento laboral o académico de las personas.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sz w:val="20"/>
        </w:rPr>
        <w:br/>
      </w:r>
      <w:r>
        <w:rPr>
          <w:rFonts w:ascii="Times New Roman" w:eastAsia="Times New Roman" w:hAnsi="Times New Roman" w:cs="Times New Roman"/>
          <w:b/>
          <w:sz w:val="24"/>
        </w:rPr>
        <w:t>c. Salud mental.</w:t>
      </w:r>
      <w:r>
        <w:rPr>
          <w:rFonts w:ascii="Times New Roman" w:eastAsia="Times New Roman" w:hAnsi="Times New Roman" w:cs="Times New Roman"/>
          <w:sz w:val="24"/>
        </w:rPr>
        <w:t> Se tendrán en cuenta los factores psicosociales de riesgo, para mejorar el desarrollo integral de las personas en su interacción con la comunidad universitaria, desarrollando programas de promoción y prevención, con el fin de proporcionar unas mejores condiciones de vida para un adecuado desempeño en los ámbitos académico y laboral. </w:t>
      </w:r>
    </w:p>
    <w:p w:rsidR="00274D6D" w:rsidRDefault="00274D6D" w:rsidP="00274D6D">
      <w:pPr>
        <w:spacing w:after="0"/>
        <w:jc w:val="both"/>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d. Fomento de la salud ocupacional estudiantil.</w:t>
      </w:r>
      <w:r>
        <w:rPr>
          <w:rFonts w:ascii="Times New Roman" w:eastAsia="Times New Roman" w:hAnsi="Times New Roman" w:cs="Times New Roman"/>
          <w:sz w:val="24"/>
        </w:rPr>
        <w:t> Realizará acciones para el fomento de la salud ocupacional en el desarrollo de las actividades académicas y de las prácticas profesionales.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 xml:space="preserve">e. </w:t>
      </w:r>
      <w:proofErr w:type="spellStart"/>
      <w:r>
        <w:rPr>
          <w:rFonts w:ascii="Times New Roman" w:eastAsia="Times New Roman" w:hAnsi="Times New Roman" w:cs="Times New Roman"/>
          <w:b/>
          <w:sz w:val="24"/>
        </w:rPr>
        <w:t>Psicorientación</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Son programas educativos, preventivos o remediales que intervienen en aspectos relacionados con la integración a la vida universitaria, con los procesos de aprendizaje y con los hábitos de estudio, como apoyo al logro de la excelencia académica.</w:t>
      </w:r>
    </w:p>
    <w:p w:rsidR="00274D6D" w:rsidRDefault="00274D6D" w:rsidP="00274D6D">
      <w:pPr>
        <w:spacing w:after="0"/>
        <w:jc w:val="both"/>
      </w:pPr>
      <w:r>
        <w:rPr>
          <w:rFonts w:ascii="Times New Roman" w:eastAsia="Times New Roman" w:hAnsi="Times New Roman" w:cs="Times New Roman"/>
          <w:sz w:val="24"/>
        </w:rPr>
        <w:t> </w:t>
      </w:r>
      <w:r>
        <w:rPr>
          <w:rFonts w:ascii="Times New Roman" w:eastAsia="Times New Roman" w:hAnsi="Times New Roman" w:cs="Times New Roman"/>
          <w:sz w:val="24"/>
        </w:rPr>
        <w:br/>
      </w:r>
      <w:r>
        <w:rPr>
          <w:rFonts w:ascii="Times New Roman" w:eastAsia="Times New Roman" w:hAnsi="Times New Roman" w:cs="Times New Roman"/>
          <w:b/>
          <w:sz w:val="24"/>
        </w:rPr>
        <w:t>Parágrafo:</w:t>
      </w:r>
      <w:r>
        <w:rPr>
          <w:rFonts w:ascii="Times New Roman" w:eastAsia="Times New Roman" w:hAnsi="Times New Roman" w:cs="Times New Roman"/>
          <w:sz w:val="24"/>
        </w:rPr>
        <w:t> Los cargos actualmente desempeñados por los empleados no docentes en comisión en la IPS Universitaria se suprimirán en la medida en que se produzca la vacante en el cargo correspondiente.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DEPARTAMENTO DE DESARROLLO HUMANO.</w:t>
      </w:r>
      <w:r>
        <w:rPr>
          <w:rFonts w:ascii="Times New Roman" w:eastAsia="Times New Roman" w:hAnsi="Times New Roman" w:cs="Times New Roman"/>
          <w:sz w:val="24"/>
        </w:rPr>
        <w:t>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20.</w:t>
      </w:r>
      <w:r>
        <w:rPr>
          <w:rFonts w:ascii="Times New Roman" w:eastAsia="Times New Roman" w:hAnsi="Times New Roman" w:cs="Times New Roman"/>
          <w:sz w:val="24"/>
        </w:rPr>
        <w:t> El Departamento de Desarrollo Humano elaborará y ejecutará programas que faciliten la ejecución de los proyectos de vida en el ámbito personal, académico y laboral. Fomentará el sentido de pertenencia y fortalecerá las relaciones humanas, la adaptabilidad, y el desempeño de las personas en la comunidad.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21.</w:t>
      </w:r>
      <w:r>
        <w:rPr>
          <w:rFonts w:ascii="Times New Roman" w:eastAsia="Times New Roman" w:hAnsi="Times New Roman" w:cs="Times New Roman"/>
          <w:sz w:val="24"/>
        </w:rPr>
        <w:t> Serán objetivos del Departamento de Desarrollo Humano, entre otros, los siguientes: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Promover la formación integral de las personas de la comunidad universitaria con el fin de desarrollar habilidades, aptitudes y destrezas que contribuyan a la cualificación de aspectos personales, académicos y laborales.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Contribuir al desarrollo de los proyectos de vida en los ámbitos personal, académico y laboral, mediante el apoyo de actividades culturales de carácter institucional, colectivo e individual.</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 </w:t>
      </w:r>
      <w:r>
        <w:rPr>
          <w:rFonts w:ascii="Times New Roman" w:eastAsia="Times New Roman" w:hAnsi="Times New Roman" w:cs="Times New Roman"/>
          <w:sz w:val="24"/>
        </w:rPr>
        <w:t>Ofrecer programas de ahorro y crédito que proporcionen bienestar socioeconómico a las personas vinculadas laboralmente.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 </w:t>
      </w:r>
      <w:r>
        <w:rPr>
          <w:rFonts w:ascii="Times New Roman" w:eastAsia="Times New Roman" w:hAnsi="Times New Roman" w:cs="Times New Roman"/>
          <w:sz w:val="24"/>
        </w:rPr>
        <w:t>Desarrollar programas y acciones de apoyo social que contribuyan a la solución de necesidades de los miembros de la comunidad universitaria. </w:t>
      </w:r>
    </w:p>
    <w:p w:rsidR="00274D6D" w:rsidRDefault="00274D6D" w:rsidP="00274D6D">
      <w:pPr>
        <w:spacing w:after="0"/>
        <w:jc w:val="both"/>
      </w:pP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22.</w:t>
      </w:r>
      <w:r>
        <w:rPr>
          <w:rFonts w:ascii="Times New Roman" w:eastAsia="Times New Roman" w:hAnsi="Times New Roman" w:cs="Times New Roman"/>
          <w:sz w:val="24"/>
        </w:rPr>
        <w:t> Para el cumplimiento de sus objetivos, el Departamento de Desarrollo Humano estructurará internamente, entre otros, programas en los siguientes campos: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lastRenderedPageBreak/>
        <w:t>a. Desarrollo y promoción del talento humano.</w:t>
      </w:r>
      <w:r>
        <w:rPr>
          <w:rFonts w:ascii="Times New Roman" w:eastAsia="Times New Roman" w:hAnsi="Times New Roman" w:cs="Times New Roman"/>
          <w:sz w:val="24"/>
        </w:rPr>
        <w:t> Son programas dirigidos a la comunidad universitaria, que desarrollan acciones orientadas al fomento y al estímulo de las capacidades humanas en diferentes aspectos y etapas de la vida.</w:t>
      </w:r>
    </w:p>
    <w:p w:rsidR="00274D6D" w:rsidRDefault="00274D6D" w:rsidP="00274D6D">
      <w:pPr>
        <w:spacing w:after="0"/>
        <w:jc w:val="both"/>
      </w:pPr>
      <w:r>
        <w:rPr>
          <w:rFonts w:ascii="Times New Roman" w:eastAsia="Times New Roman" w:hAnsi="Times New Roman" w:cs="Times New Roman"/>
          <w:color w:val="FFC000"/>
          <w:sz w:val="24"/>
        </w:rPr>
        <w:br/>
      </w:r>
      <w:r>
        <w:rPr>
          <w:rFonts w:ascii="Times New Roman" w:eastAsia="Times New Roman" w:hAnsi="Times New Roman" w:cs="Times New Roman"/>
          <w:b/>
          <w:sz w:val="24"/>
        </w:rPr>
        <w:t>b. Fomento artístico y cultural.</w:t>
      </w:r>
      <w:r>
        <w:rPr>
          <w:rFonts w:ascii="Times New Roman" w:eastAsia="Times New Roman" w:hAnsi="Times New Roman" w:cs="Times New Roman"/>
          <w:sz w:val="24"/>
        </w:rPr>
        <w:t> Generará espacios para el desarrollo de aptitudes personales y de la creatividad, y para la conformación de grupos institucionales en las áreas del teatro, la música vocal e instrumental, las danzas y en otras ramas del arte.</w:t>
      </w:r>
    </w:p>
    <w:p w:rsidR="00274D6D" w:rsidRDefault="00274D6D" w:rsidP="00274D6D">
      <w:pPr>
        <w:spacing w:after="0"/>
        <w:jc w:val="both"/>
      </w:pPr>
      <w:r>
        <w:rPr>
          <w:rFonts w:ascii="Times New Roman" w:eastAsia="Times New Roman" w:hAnsi="Times New Roman" w:cs="Times New Roman"/>
          <w:sz w:val="24"/>
        </w:rPr>
        <w:t>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c. Fomento de ahorro y crédito.</w:t>
      </w:r>
      <w:r>
        <w:rPr>
          <w:rFonts w:ascii="Times New Roman" w:eastAsia="Times New Roman" w:hAnsi="Times New Roman" w:cs="Times New Roman"/>
          <w:sz w:val="24"/>
        </w:rPr>
        <w:t> Coordinará y ejecutará actividades que propendan al bienestar económico y al mejoramiento de la calidad de vida, mediante la concesión de créditos de los diferentes fondos, tales como: bienestar universitario, calamidad doméstica, y rotatorio de vivienda.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 Apoyo Social.</w:t>
      </w:r>
      <w:r>
        <w:rPr>
          <w:rFonts w:ascii="Times New Roman" w:eastAsia="Times New Roman" w:hAnsi="Times New Roman" w:cs="Times New Roman"/>
          <w:sz w:val="24"/>
        </w:rPr>
        <w:t> Brindará servicios tales como: asignación de becas, transporte, alimentación, apoyo logístico a diferentes actividades universitarias, y otros.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e. Bienestar estudiantil.</w:t>
      </w:r>
      <w:r>
        <w:rPr>
          <w:rFonts w:ascii="Times New Roman" w:eastAsia="Times New Roman" w:hAnsi="Times New Roman" w:cs="Times New Roman"/>
          <w:sz w:val="24"/>
        </w:rPr>
        <w:t> Coordinará todos aquellos programas que brindan apoyos económicos y sociales a estudiantes de menores recursos.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color w:val="38761D"/>
          <w:sz w:val="24"/>
        </w:rPr>
        <w:br/>
      </w:r>
      <w:r>
        <w:rPr>
          <w:rFonts w:ascii="Times New Roman" w:eastAsia="Times New Roman" w:hAnsi="Times New Roman" w:cs="Times New Roman"/>
          <w:b/>
          <w:sz w:val="24"/>
        </w:rPr>
        <w:t>DEPARTAMENTO DE DEPORTES</w:t>
      </w:r>
      <w:r>
        <w:rPr>
          <w:rFonts w:ascii="Times New Roman" w:eastAsia="Times New Roman" w:hAnsi="Times New Roman" w:cs="Times New Roman"/>
          <w:sz w:val="24"/>
        </w:rPr>
        <w:t>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23.</w:t>
      </w:r>
      <w:r>
        <w:rPr>
          <w:rFonts w:ascii="Times New Roman" w:eastAsia="Times New Roman" w:hAnsi="Times New Roman" w:cs="Times New Roman"/>
          <w:sz w:val="24"/>
        </w:rPr>
        <w:t> El Departamento de Deportes orientará actividades de carácter formativo, recreativo y representativo. Estimulará la práctica del deporte, propiciando el desarrollo de aptitudes deportivas, y la formación en los valores de disciplina, lealtad y solidaridad. </w:t>
      </w:r>
      <w:r>
        <w:rPr>
          <w:rFonts w:ascii="Times New Roman" w:eastAsia="Times New Roman" w:hAnsi="Times New Roman" w:cs="Times New Roman"/>
          <w:sz w:val="24"/>
        </w:rPr>
        <w:br/>
      </w:r>
      <w:r>
        <w:rPr>
          <w:rFonts w:ascii="Times New Roman" w:eastAsia="Times New Roman" w:hAnsi="Times New Roman" w:cs="Times New Roman"/>
          <w:sz w:val="24"/>
        </w:rPr>
        <w:br/>
        <w:t>Tendrá a cargo la administración de escenarios deportivos, la organización de eventos y la gestión de recursos para las prácticas deportiva y recreativa.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color w:val="FFC000"/>
          <w:sz w:val="24"/>
        </w:rPr>
        <w:br/>
      </w:r>
      <w:r>
        <w:rPr>
          <w:rFonts w:ascii="Times New Roman" w:eastAsia="Times New Roman" w:hAnsi="Times New Roman" w:cs="Times New Roman"/>
          <w:b/>
          <w:sz w:val="24"/>
        </w:rPr>
        <w:t>Artículo 24. </w:t>
      </w:r>
      <w:r>
        <w:rPr>
          <w:rFonts w:ascii="Times New Roman" w:eastAsia="Times New Roman" w:hAnsi="Times New Roman" w:cs="Times New Roman"/>
          <w:sz w:val="24"/>
        </w:rPr>
        <w:t>Serán objetivos del Departamento de Deportes, entre otros, los siguientes: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Contribuir a la formación integral y al mejoramiento de la salud física y psíquica de la comunidad universitaria, por medio de la enseñanza y la práctica de actividades deportivas.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Promover y coordinar la participación representativa deportiva en los diferentes niveles.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lastRenderedPageBreak/>
        <w:t>c. </w:t>
      </w:r>
      <w:r>
        <w:rPr>
          <w:rFonts w:ascii="Times New Roman" w:eastAsia="Times New Roman" w:hAnsi="Times New Roman" w:cs="Times New Roman"/>
          <w:sz w:val="24"/>
        </w:rPr>
        <w:t>Diseñar y ejecutar programas deportivos y recreativos con los estamentos de las diferentes dependencias, con la finalidad de apoyar la promoción de la salud y la prevención de la enfermedad.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w:t>
      </w:r>
      <w:r>
        <w:rPr>
          <w:rFonts w:ascii="Times New Roman" w:eastAsia="Times New Roman" w:hAnsi="Times New Roman" w:cs="Times New Roman"/>
          <w:sz w:val="24"/>
        </w:rPr>
        <w:t> Desarrollar actividades formativas y deportivas con las familias de los miembros de la comunidad universitaria y, asimismo, de la sociedad en general.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25.</w:t>
      </w:r>
      <w:r>
        <w:rPr>
          <w:rFonts w:ascii="Times New Roman" w:eastAsia="Times New Roman" w:hAnsi="Times New Roman" w:cs="Times New Roman"/>
          <w:sz w:val="24"/>
        </w:rPr>
        <w:t> Para el cumplimiento de sus objetivos, el Departamento de Deportes estructurará internamente, entre otros, programas en los siguientes campos: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 xml:space="preserve">a. Deporte recreativo y aprovechamiento del tiempo libre. </w:t>
      </w:r>
      <w:r>
        <w:rPr>
          <w:rFonts w:ascii="Times New Roman" w:eastAsia="Times New Roman" w:hAnsi="Times New Roman" w:cs="Times New Roman"/>
          <w:sz w:val="24"/>
        </w:rPr>
        <w:t>Desarrollará las actividades físicas de carácter recreativo y deportivo que lleven al mejoramiento de la calidad de vida mediante el uso saludable del tiempo libre. </w:t>
      </w:r>
    </w:p>
    <w:p w:rsidR="00274D6D" w:rsidRDefault="00274D6D" w:rsidP="00274D6D">
      <w:pPr>
        <w:spacing w:after="0"/>
        <w:jc w:val="both"/>
      </w:pP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b. Formación deportiva.</w:t>
      </w:r>
      <w:r>
        <w:rPr>
          <w:rFonts w:ascii="Times New Roman" w:eastAsia="Times New Roman" w:hAnsi="Times New Roman" w:cs="Times New Roman"/>
          <w:sz w:val="24"/>
        </w:rPr>
        <w:t> Incluye actividades de formación deportiva para estudiantes y empleados, y las escuelas de iniciación y formación.</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 Deporte representativo.</w:t>
      </w:r>
      <w:r>
        <w:rPr>
          <w:rFonts w:ascii="Times New Roman" w:eastAsia="Times New Roman" w:hAnsi="Times New Roman" w:cs="Times New Roman"/>
          <w:sz w:val="24"/>
        </w:rPr>
        <w:t> Se encargará de definir y apoyar la participación y representación de la universidad en eventos competitivos programados por el deporte asociado. </w:t>
      </w:r>
    </w:p>
    <w:p w:rsidR="00274D6D" w:rsidRDefault="00274D6D" w:rsidP="00274D6D">
      <w:pPr>
        <w:spacing w:after="0"/>
        <w:jc w:val="both"/>
      </w:pPr>
    </w:p>
    <w:p w:rsidR="00274D6D" w:rsidRDefault="00274D6D" w:rsidP="00274D6D">
      <w:pPr>
        <w:spacing w:after="0"/>
        <w:jc w:val="both"/>
      </w:pPr>
    </w:p>
    <w:p w:rsidR="00274D6D" w:rsidRDefault="00274D6D" w:rsidP="00274D6D">
      <w:pPr>
        <w:spacing w:after="0"/>
        <w:jc w:val="center"/>
      </w:pPr>
      <w:r>
        <w:rPr>
          <w:rFonts w:ascii="Times New Roman" w:eastAsia="Times New Roman" w:hAnsi="Times New Roman" w:cs="Times New Roman"/>
          <w:b/>
          <w:sz w:val="24"/>
        </w:rPr>
        <w:br/>
        <w:t>TITULO IV</w:t>
      </w:r>
    </w:p>
    <w:p w:rsidR="00274D6D" w:rsidRDefault="00274D6D" w:rsidP="00274D6D">
      <w:pPr>
        <w:spacing w:after="0"/>
        <w:jc w:val="center"/>
      </w:pPr>
    </w:p>
    <w:p w:rsidR="00274D6D" w:rsidRDefault="00274D6D" w:rsidP="00274D6D">
      <w:pPr>
        <w:spacing w:after="0"/>
        <w:jc w:val="center"/>
      </w:pPr>
      <w:r>
        <w:rPr>
          <w:rFonts w:ascii="Times New Roman" w:eastAsia="Times New Roman" w:hAnsi="Times New Roman" w:cs="Times New Roman"/>
          <w:b/>
          <w:sz w:val="24"/>
        </w:rPr>
        <w:t>ASPECTOS ADMINISTRATIVOS DEL SISTEMA DE BIENESTAR UNIVERSITARIO</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w:t>
      </w:r>
    </w:p>
    <w:p w:rsidR="00274D6D" w:rsidRDefault="00274D6D" w:rsidP="00274D6D">
      <w:pPr>
        <w:spacing w:after="0"/>
        <w:jc w:val="center"/>
      </w:pPr>
    </w:p>
    <w:p w:rsidR="00274D6D" w:rsidRDefault="00274D6D" w:rsidP="00274D6D">
      <w:pPr>
        <w:spacing w:after="0"/>
        <w:jc w:val="center"/>
      </w:pPr>
      <w:r>
        <w:rPr>
          <w:rFonts w:ascii="Times New Roman" w:eastAsia="Times New Roman" w:hAnsi="Times New Roman" w:cs="Times New Roman"/>
          <w:b/>
          <w:sz w:val="24"/>
        </w:rPr>
        <w:t>PLAN GENERAL DE BIENESTAR UNIVERSITARIO</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26.</w:t>
      </w:r>
      <w:r>
        <w:rPr>
          <w:rFonts w:ascii="Times New Roman" w:eastAsia="Times New Roman" w:hAnsi="Times New Roman" w:cs="Times New Roman"/>
          <w:sz w:val="24"/>
        </w:rPr>
        <w:t> El Sistema de Bienestar Universitario se apoyará en un plan general que se diseñará según los objetivos contemplados en el Plan de Desarrollo de la Universidad.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27.</w:t>
      </w:r>
      <w:r>
        <w:rPr>
          <w:rFonts w:ascii="Times New Roman" w:eastAsia="Times New Roman" w:hAnsi="Times New Roman" w:cs="Times New Roman"/>
          <w:sz w:val="24"/>
        </w:rPr>
        <w:t> El Plan de Acción del Sistema de Bienestar Universitario se concretará por medio de programas y proyectos que beneficien a la comunidad universitaria en general.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28.</w:t>
      </w:r>
      <w:r>
        <w:rPr>
          <w:rFonts w:ascii="Times New Roman" w:eastAsia="Times New Roman" w:hAnsi="Times New Roman" w:cs="Times New Roman"/>
          <w:sz w:val="24"/>
        </w:rPr>
        <w:t xml:space="preserve"> Para el desarrollo del Plan de Acción, todos los programas y proyectos </w:t>
      </w:r>
      <w:r>
        <w:rPr>
          <w:rFonts w:ascii="Times New Roman" w:eastAsia="Times New Roman" w:hAnsi="Times New Roman" w:cs="Times New Roman"/>
          <w:sz w:val="24"/>
        </w:rPr>
        <w:lastRenderedPageBreak/>
        <w:t>deberán someterse a un proceso de evaluación y control por parte de la Dirección de Bienestar Universitario.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b/>
          <w:sz w:val="24"/>
        </w:rPr>
        <w:t>Artículo 29.</w:t>
      </w:r>
      <w:r>
        <w:rPr>
          <w:rFonts w:ascii="Times New Roman" w:eastAsia="Times New Roman" w:hAnsi="Times New Roman" w:cs="Times New Roman"/>
          <w:sz w:val="24"/>
        </w:rPr>
        <w:t> Los proyectos de la Dirección de Bienestar Universitario se matricularán debidamente en el banco de proyectos de la Universidad, con el fin de gestionar recursos para su ejecución; asimismo, se presentarán ante otras instituciones de carácter municipal, departamental, nacional e internacional, con el fin de gestionar recursos. </w:t>
      </w:r>
      <w:r>
        <w:rPr>
          <w:rFonts w:ascii="Times New Roman" w:eastAsia="Times New Roman" w:hAnsi="Times New Roman" w:cs="Times New Roman"/>
          <w:sz w:val="24"/>
        </w:rPr>
        <w:br/>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CAPITULO II</w:t>
      </w:r>
    </w:p>
    <w:p w:rsidR="00274D6D" w:rsidRDefault="00274D6D" w:rsidP="00274D6D">
      <w:pPr>
        <w:spacing w:after="0"/>
        <w:jc w:val="center"/>
      </w:pPr>
    </w:p>
    <w:p w:rsidR="00274D6D" w:rsidRDefault="00274D6D" w:rsidP="00274D6D">
      <w:pPr>
        <w:spacing w:after="0"/>
        <w:jc w:val="center"/>
      </w:pPr>
      <w:r>
        <w:rPr>
          <w:rFonts w:ascii="Times New Roman" w:eastAsia="Times New Roman" w:hAnsi="Times New Roman" w:cs="Times New Roman"/>
          <w:b/>
          <w:sz w:val="24"/>
        </w:rPr>
        <w:t>PRESUPUESTO</w:t>
      </w:r>
      <w:r>
        <w:rPr>
          <w:rFonts w:ascii="Times New Roman" w:eastAsia="Times New Roman" w:hAnsi="Times New Roman" w:cs="Times New Roman"/>
          <w:sz w:val="24"/>
        </w:rPr>
        <w:t> </w:t>
      </w:r>
    </w:p>
    <w:p w:rsidR="00274D6D" w:rsidRDefault="00274D6D" w:rsidP="00274D6D">
      <w:pPr>
        <w:spacing w:after="0"/>
        <w:jc w:val="center"/>
      </w:pPr>
    </w:p>
    <w:p w:rsidR="00274D6D" w:rsidRDefault="00274D6D" w:rsidP="00274D6D">
      <w:pPr>
        <w:spacing w:after="0"/>
        <w:jc w:val="both"/>
      </w:pPr>
      <w:r>
        <w:rPr>
          <w:rFonts w:ascii="Times New Roman" w:eastAsia="Times New Roman" w:hAnsi="Times New Roman" w:cs="Times New Roman"/>
          <w:b/>
          <w:sz w:val="24"/>
        </w:rPr>
        <w:t>Artículo 30.</w:t>
      </w:r>
      <w:r>
        <w:rPr>
          <w:rFonts w:ascii="Times New Roman" w:eastAsia="Times New Roman" w:hAnsi="Times New Roman" w:cs="Times New Roman"/>
          <w:sz w:val="24"/>
        </w:rPr>
        <w:t> Los programas y proyectos del Sistema de Bienestar Universitario deberán tener un presupuesto acorde con la reglamentación vigente en la Universidad.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31.</w:t>
      </w:r>
      <w:r>
        <w:rPr>
          <w:rFonts w:ascii="Times New Roman" w:eastAsia="Times New Roman" w:hAnsi="Times New Roman" w:cs="Times New Roman"/>
          <w:sz w:val="24"/>
        </w:rPr>
        <w:t> Serán fuentes de financiación para los programas y proyectos del Sistema de Bienestar los siguientes: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w:t>
      </w:r>
      <w:r>
        <w:rPr>
          <w:rFonts w:ascii="Times New Roman" w:eastAsia="Times New Roman" w:hAnsi="Times New Roman" w:cs="Times New Roman"/>
          <w:sz w:val="24"/>
        </w:rPr>
        <w:t> Los aportes del presupuesto general de la Universidad, tal como lo determina la Ley General de la Educación Superior (Ley 30 de 1992).</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b.</w:t>
      </w:r>
      <w:r>
        <w:rPr>
          <w:rFonts w:ascii="Times New Roman" w:eastAsia="Times New Roman" w:hAnsi="Times New Roman" w:cs="Times New Roman"/>
          <w:sz w:val="24"/>
        </w:rPr>
        <w:t> Recursos propios del Programa Especial de Bienestar Universitario y los derivados de las actividades que desarrolla la Dirección de Bienestar.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c.</w:t>
      </w:r>
      <w:r>
        <w:rPr>
          <w:rFonts w:ascii="Times New Roman" w:eastAsia="Times New Roman" w:hAnsi="Times New Roman" w:cs="Times New Roman"/>
          <w:sz w:val="24"/>
        </w:rPr>
        <w:t> Los aportes, donaciones y legados entregados por las personas naturales o jurídicas, con el propósito de fomentar el bienestar universitario.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d.</w:t>
      </w:r>
      <w:r>
        <w:rPr>
          <w:rFonts w:ascii="Times New Roman" w:eastAsia="Times New Roman" w:hAnsi="Times New Roman" w:cs="Times New Roman"/>
          <w:sz w:val="24"/>
        </w:rPr>
        <w:t> Los rendimientos financieros del Fondo Patrimonial de Bienestar Universitario.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e.</w:t>
      </w:r>
      <w:r>
        <w:rPr>
          <w:rFonts w:ascii="Times New Roman" w:eastAsia="Times New Roman" w:hAnsi="Times New Roman" w:cs="Times New Roman"/>
          <w:sz w:val="24"/>
        </w:rPr>
        <w:t> Los traslados que la ley determina para actividades de promoción de la salud y prevención de la enfermedad.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f.</w:t>
      </w:r>
      <w:r>
        <w:rPr>
          <w:rFonts w:ascii="Times New Roman" w:eastAsia="Times New Roman" w:hAnsi="Times New Roman" w:cs="Times New Roman"/>
          <w:sz w:val="24"/>
        </w:rPr>
        <w:t> La cofinanciación de algunos programas entre Bienestar Universitario y las diferentes dependencias.</w:t>
      </w:r>
    </w:p>
    <w:p w:rsidR="00274D6D" w:rsidRDefault="00274D6D" w:rsidP="00274D6D">
      <w:pPr>
        <w:spacing w:after="0"/>
        <w:jc w:val="both"/>
      </w:pP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CAPÍTULO III</w:t>
      </w:r>
    </w:p>
    <w:p w:rsidR="00274D6D" w:rsidRDefault="00274D6D" w:rsidP="00274D6D">
      <w:pPr>
        <w:spacing w:after="0"/>
        <w:jc w:val="center"/>
      </w:pPr>
      <w:r>
        <w:rPr>
          <w:rFonts w:ascii="Times New Roman" w:eastAsia="Times New Roman" w:hAnsi="Times New Roman" w:cs="Times New Roman"/>
          <w:sz w:val="24"/>
        </w:rPr>
        <w:br/>
      </w:r>
      <w:r>
        <w:rPr>
          <w:rFonts w:ascii="Times New Roman" w:eastAsia="Times New Roman" w:hAnsi="Times New Roman" w:cs="Times New Roman"/>
          <w:b/>
          <w:sz w:val="24"/>
        </w:rPr>
        <w:t>VIGENCIA Y OTRAS DISPOSICIONES</w:t>
      </w:r>
    </w:p>
    <w:p w:rsidR="00274D6D" w:rsidRDefault="00274D6D" w:rsidP="00274D6D">
      <w:pPr>
        <w:spacing w:after="0"/>
        <w:jc w:val="both"/>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Artículo 32:</w:t>
      </w:r>
      <w:r>
        <w:rPr>
          <w:rFonts w:ascii="Times New Roman" w:eastAsia="Times New Roman" w:hAnsi="Times New Roman" w:cs="Times New Roman"/>
          <w:sz w:val="24"/>
        </w:rPr>
        <w:t> La aplicación del presente Acuerdo no deberá significar el aumento de personas vinculadas, ni un incremento en los costos de la nómina actual de la Dirección de Bienestar Universitario. </w:t>
      </w: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b/>
          <w:sz w:val="24"/>
        </w:rPr>
        <w:t>Artículo 33.</w:t>
      </w:r>
      <w:r>
        <w:rPr>
          <w:rFonts w:ascii="Times New Roman" w:eastAsia="Times New Roman" w:hAnsi="Times New Roman" w:cs="Times New Roman"/>
          <w:sz w:val="24"/>
        </w:rPr>
        <w:t> El presente Acuerdo rige a partir de su expedición y deroga las normas que le sean contrarias. </w:t>
      </w:r>
    </w:p>
    <w:p w:rsidR="00274D6D" w:rsidRDefault="00274D6D" w:rsidP="00274D6D">
      <w:pPr>
        <w:spacing w:after="0"/>
        <w:jc w:val="both"/>
      </w:pPr>
    </w:p>
    <w:p w:rsidR="00274D6D" w:rsidRDefault="00274D6D" w:rsidP="00274D6D">
      <w:pPr>
        <w:spacing w:after="0"/>
        <w:jc w:val="both"/>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ALBERTO BUILES ORTEGA</w:t>
      </w:r>
    </w:p>
    <w:p w:rsidR="00274D6D" w:rsidRDefault="00274D6D" w:rsidP="00274D6D">
      <w:pPr>
        <w:spacing w:after="0"/>
        <w:jc w:val="both"/>
      </w:pPr>
      <w:r>
        <w:rPr>
          <w:rFonts w:ascii="Times New Roman" w:eastAsia="Times New Roman" w:hAnsi="Times New Roman" w:cs="Times New Roman"/>
          <w:sz w:val="24"/>
        </w:rPr>
        <w:t>Presidente</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LUIS FERNANDO MEJÍA VÉLEZ</w:t>
      </w:r>
    </w:p>
    <w:p w:rsidR="00274D6D" w:rsidRDefault="00274D6D" w:rsidP="00274D6D">
      <w:pPr>
        <w:spacing w:after="0"/>
        <w:jc w:val="both"/>
      </w:pPr>
      <w:r>
        <w:rPr>
          <w:rFonts w:ascii="Times New Roman" w:eastAsia="Times New Roman" w:hAnsi="Times New Roman" w:cs="Times New Roman"/>
          <w:sz w:val="24"/>
        </w:rPr>
        <w:t>Secretario </w:t>
      </w:r>
      <w:r>
        <w:rPr>
          <w:rFonts w:ascii="Times New Roman" w:eastAsia="Times New Roman" w:hAnsi="Times New Roman" w:cs="Times New Roman"/>
          <w:sz w:val="24"/>
        </w:rPr>
        <w:br/>
      </w:r>
    </w:p>
    <w:p w:rsidR="008E4479" w:rsidRDefault="008E4479"/>
    <w:sectPr w:rsidR="008E44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6D"/>
    <w:rsid w:val="00274D6D"/>
    <w:rsid w:val="008E4479"/>
    <w:rsid w:val="009F7D5E"/>
    <w:rsid w:val="00BC244C"/>
    <w:rsid w:val="00D354E7"/>
    <w:rsid w:val="00F42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D6D"/>
    <w:rPr>
      <w:rFonts w:ascii="Calibri" w:eastAsia="Calibri" w:hAnsi="Calibri" w:cs="Calibri"/>
      <w:color w:val="000000"/>
      <w:szCs w:val="20"/>
      <w:lang w:eastAsia="es-CO"/>
    </w:rPr>
  </w:style>
  <w:style w:type="paragraph" w:styleId="Ttulo1">
    <w:name w:val="heading 1"/>
    <w:basedOn w:val="Normal"/>
    <w:next w:val="Normal"/>
    <w:link w:val="Ttulo1Car"/>
    <w:rsid w:val="00274D6D"/>
    <w:pPr>
      <w:keepNext/>
      <w:keepLines/>
      <w:spacing w:before="480" w:after="120"/>
      <w:contextualSpacing/>
      <w:outlineLvl w:val="0"/>
    </w:pPr>
    <w:rPr>
      <w:b/>
      <w:sz w:val="48"/>
    </w:rPr>
  </w:style>
  <w:style w:type="paragraph" w:styleId="Ttulo2">
    <w:name w:val="heading 2"/>
    <w:basedOn w:val="Normal"/>
    <w:next w:val="Normal"/>
    <w:link w:val="Ttulo2Car"/>
    <w:rsid w:val="00274D6D"/>
    <w:pPr>
      <w:keepNext/>
      <w:keepLines/>
      <w:spacing w:before="360" w:after="80"/>
      <w:contextualSpacing/>
      <w:outlineLvl w:val="1"/>
    </w:pPr>
    <w:rPr>
      <w:b/>
      <w:sz w:val="36"/>
    </w:rPr>
  </w:style>
  <w:style w:type="paragraph" w:styleId="Ttulo3">
    <w:name w:val="heading 3"/>
    <w:basedOn w:val="Normal"/>
    <w:next w:val="Normal"/>
    <w:link w:val="Ttulo3Car"/>
    <w:rsid w:val="00274D6D"/>
    <w:pPr>
      <w:keepNext/>
      <w:keepLines/>
      <w:spacing w:before="280" w:after="80"/>
      <w:contextualSpacing/>
      <w:outlineLvl w:val="2"/>
    </w:pPr>
    <w:rPr>
      <w:b/>
      <w:sz w:val="28"/>
    </w:rPr>
  </w:style>
  <w:style w:type="paragraph" w:styleId="Ttulo4">
    <w:name w:val="heading 4"/>
    <w:basedOn w:val="Normal"/>
    <w:next w:val="Normal"/>
    <w:link w:val="Ttulo4Car"/>
    <w:rsid w:val="00274D6D"/>
    <w:pPr>
      <w:keepNext/>
      <w:keepLines/>
      <w:spacing w:before="240" w:after="40"/>
      <w:contextualSpacing/>
      <w:outlineLvl w:val="3"/>
    </w:pPr>
    <w:rPr>
      <w:b/>
      <w:sz w:val="24"/>
    </w:rPr>
  </w:style>
  <w:style w:type="paragraph" w:styleId="Ttulo5">
    <w:name w:val="heading 5"/>
    <w:basedOn w:val="Normal"/>
    <w:next w:val="Normal"/>
    <w:link w:val="Ttulo5Car"/>
    <w:rsid w:val="00274D6D"/>
    <w:pPr>
      <w:keepNext/>
      <w:keepLines/>
      <w:spacing w:before="220" w:after="40"/>
      <w:contextualSpacing/>
      <w:outlineLvl w:val="4"/>
    </w:pPr>
    <w:rPr>
      <w:b/>
    </w:rPr>
  </w:style>
  <w:style w:type="paragraph" w:styleId="Ttulo6">
    <w:name w:val="heading 6"/>
    <w:basedOn w:val="Normal"/>
    <w:next w:val="Normal"/>
    <w:link w:val="Ttulo6Car"/>
    <w:rsid w:val="00274D6D"/>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4D6D"/>
    <w:rPr>
      <w:rFonts w:ascii="Calibri" w:eastAsia="Calibri" w:hAnsi="Calibri" w:cs="Calibri"/>
      <w:b/>
      <w:color w:val="000000"/>
      <w:sz w:val="48"/>
      <w:szCs w:val="20"/>
      <w:lang w:eastAsia="es-CO"/>
    </w:rPr>
  </w:style>
  <w:style w:type="character" w:customStyle="1" w:styleId="Ttulo2Car">
    <w:name w:val="Título 2 Car"/>
    <w:basedOn w:val="Fuentedeprrafopredeter"/>
    <w:link w:val="Ttulo2"/>
    <w:rsid w:val="00274D6D"/>
    <w:rPr>
      <w:rFonts w:ascii="Calibri" w:eastAsia="Calibri" w:hAnsi="Calibri" w:cs="Calibri"/>
      <w:b/>
      <w:color w:val="000000"/>
      <w:sz w:val="36"/>
      <w:szCs w:val="20"/>
      <w:lang w:eastAsia="es-CO"/>
    </w:rPr>
  </w:style>
  <w:style w:type="character" w:customStyle="1" w:styleId="Ttulo3Car">
    <w:name w:val="Título 3 Car"/>
    <w:basedOn w:val="Fuentedeprrafopredeter"/>
    <w:link w:val="Ttulo3"/>
    <w:rsid w:val="00274D6D"/>
    <w:rPr>
      <w:rFonts w:ascii="Calibri" w:eastAsia="Calibri" w:hAnsi="Calibri" w:cs="Calibri"/>
      <w:b/>
      <w:color w:val="000000"/>
      <w:sz w:val="28"/>
      <w:szCs w:val="20"/>
      <w:lang w:eastAsia="es-CO"/>
    </w:rPr>
  </w:style>
  <w:style w:type="character" w:customStyle="1" w:styleId="Ttulo4Car">
    <w:name w:val="Título 4 Car"/>
    <w:basedOn w:val="Fuentedeprrafopredeter"/>
    <w:link w:val="Ttulo4"/>
    <w:rsid w:val="00274D6D"/>
    <w:rPr>
      <w:rFonts w:ascii="Calibri" w:eastAsia="Calibri" w:hAnsi="Calibri" w:cs="Calibri"/>
      <w:b/>
      <w:color w:val="000000"/>
      <w:sz w:val="24"/>
      <w:szCs w:val="20"/>
      <w:lang w:eastAsia="es-CO"/>
    </w:rPr>
  </w:style>
  <w:style w:type="character" w:customStyle="1" w:styleId="Ttulo5Car">
    <w:name w:val="Título 5 Car"/>
    <w:basedOn w:val="Fuentedeprrafopredeter"/>
    <w:link w:val="Ttulo5"/>
    <w:rsid w:val="00274D6D"/>
    <w:rPr>
      <w:rFonts w:ascii="Calibri" w:eastAsia="Calibri" w:hAnsi="Calibri" w:cs="Calibri"/>
      <w:b/>
      <w:color w:val="000000"/>
      <w:szCs w:val="20"/>
      <w:lang w:eastAsia="es-CO"/>
    </w:rPr>
  </w:style>
  <w:style w:type="character" w:customStyle="1" w:styleId="Ttulo6Car">
    <w:name w:val="Título 6 Car"/>
    <w:basedOn w:val="Fuentedeprrafopredeter"/>
    <w:link w:val="Ttulo6"/>
    <w:rsid w:val="00274D6D"/>
    <w:rPr>
      <w:rFonts w:ascii="Calibri" w:eastAsia="Calibri" w:hAnsi="Calibri" w:cs="Calibri"/>
      <w:b/>
      <w:color w:val="000000"/>
      <w:sz w:val="20"/>
      <w:szCs w:val="20"/>
      <w:lang w:eastAsia="es-CO"/>
    </w:rPr>
  </w:style>
  <w:style w:type="table" w:customStyle="1" w:styleId="TableNormal">
    <w:name w:val="Table Normal"/>
    <w:rsid w:val="00274D6D"/>
    <w:rPr>
      <w:rFonts w:ascii="Calibri" w:eastAsia="Calibri" w:hAnsi="Calibri" w:cs="Calibri"/>
      <w:color w:val="000000"/>
      <w:szCs w:val="20"/>
      <w:lang w:eastAsia="es-CO"/>
    </w:rPr>
    <w:tblPr>
      <w:tblCellMar>
        <w:top w:w="0" w:type="dxa"/>
        <w:left w:w="0" w:type="dxa"/>
        <w:bottom w:w="0" w:type="dxa"/>
        <w:right w:w="0" w:type="dxa"/>
      </w:tblCellMar>
    </w:tblPr>
  </w:style>
  <w:style w:type="paragraph" w:styleId="Ttulo">
    <w:name w:val="Title"/>
    <w:basedOn w:val="Normal"/>
    <w:next w:val="Normal"/>
    <w:link w:val="TtuloCar"/>
    <w:rsid w:val="00274D6D"/>
    <w:pPr>
      <w:keepNext/>
      <w:keepLines/>
      <w:spacing w:before="480" w:after="120"/>
      <w:contextualSpacing/>
    </w:pPr>
    <w:rPr>
      <w:b/>
      <w:sz w:val="72"/>
    </w:rPr>
  </w:style>
  <w:style w:type="character" w:customStyle="1" w:styleId="TtuloCar">
    <w:name w:val="Título Car"/>
    <w:basedOn w:val="Fuentedeprrafopredeter"/>
    <w:link w:val="Ttulo"/>
    <w:rsid w:val="00274D6D"/>
    <w:rPr>
      <w:rFonts w:ascii="Calibri" w:eastAsia="Calibri" w:hAnsi="Calibri" w:cs="Calibri"/>
      <w:b/>
      <w:color w:val="000000"/>
      <w:sz w:val="72"/>
      <w:szCs w:val="20"/>
      <w:lang w:eastAsia="es-CO"/>
    </w:rPr>
  </w:style>
  <w:style w:type="paragraph" w:styleId="Subttulo">
    <w:name w:val="Subtitle"/>
    <w:basedOn w:val="Normal"/>
    <w:next w:val="Normal"/>
    <w:link w:val="SubttuloCar"/>
    <w:rsid w:val="00274D6D"/>
    <w:pPr>
      <w:keepNext/>
      <w:keepLines/>
      <w:spacing w:before="360" w:after="80"/>
      <w:contextualSpacing/>
    </w:pPr>
    <w:rPr>
      <w:rFonts w:ascii="Georgia" w:eastAsia="Georgia" w:hAnsi="Georgia" w:cs="Georgia"/>
      <w:i/>
      <w:color w:val="666666"/>
      <w:sz w:val="48"/>
    </w:rPr>
  </w:style>
  <w:style w:type="character" w:customStyle="1" w:styleId="SubttuloCar">
    <w:name w:val="Subtítulo Car"/>
    <w:basedOn w:val="Fuentedeprrafopredeter"/>
    <w:link w:val="Subttulo"/>
    <w:rsid w:val="00274D6D"/>
    <w:rPr>
      <w:rFonts w:ascii="Georgia" w:eastAsia="Georgia" w:hAnsi="Georgia" w:cs="Georgia"/>
      <w:i/>
      <w:color w:val="666666"/>
      <w:sz w:val="48"/>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D6D"/>
    <w:rPr>
      <w:rFonts w:ascii="Calibri" w:eastAsia="Calibri" w:hAnsi="Calibri" w:cs="Calibri"/>
      <w:color w:val="000000"/>
      <w:szCs w:val="20"/>
      <w:lang w:eastAsia="es-CO"/>
    </w:rPr>
  </w:style>
  <w:style w:type="paragraph" w:styleId="Ttulo1">
    <w:name w:val="heading 1"/>
    <w:basedOn w:val="Normal"/>
    <w:next w:val="Normal"/>
    <w:link w:val="Ttulo1Car"/>
    <w:rsid w:val="00274D6D"/>
    <w:pPr>
      <w:keepNext/>
      <w:keepLines/>
      <w:spacing w:before="480" w:after="120"/>
      <w:contextualSpacing/>
      <w:outlineLvl w:val="0"/>
    </w:pPr>
    <w:rPr>
      <w:b/>
      <w:sz w:val="48"/>
    </w:rPr>
  </w:style>
  <w:style w:type="paragraph" w:styleId="Ttulo2">
    <w:name w:val="heading 2"/>
    <w:basedOn w:val="Normal"/>
    <w:next w:val="Normal"/>
    <w:link w:val="Ttulo2Car"/>
    <w:rsid w:val="00274D6D"/>
    <w:pPr>
      <w:keepNext/>
      <w:keepLines/>
      <w:spacing w:before="360" w:after="80"/>
      <w:contextualSpacing/>
      <w:outlineLvl w:val="1"/>
    </w:pPr>
    <w:rPr>
      <w:b/>
      <w:sz w:val="36"/>
    </w:rPr>
  </w:style>
  <w:style w:type="paragraph" w:styleId="Ttulo3">
    <w:name w:val="heading 3"/>
    <w:basedOn w:val="Normal"/>
    <w:next w:val="Normal"/>
    <w:link w:val="Ttulo3Car"/>
    <w:rsid w:val="00274D6D"/>
    <w:pPr>
      <w:keepNext/>
      <w:keepLines/>
      <w:spacing w:before="280" w:after="80"/>
      <w:contextualSpacing/>
      <w:outlineLvl w:val="2"/>
    </w:pPr>
    <w:rPr>
      <w:b/>
      <w:sz w:val="28"/>
    </w:rPr>
  </w:style>
  <w:style w:type="paragraph" w:styleId="Ttulo4">
    <w:name w:val="heading 4"/>
    <w:basedOn w:val="Normal"/>
    <w:next w:val="Normal"/>
    <w:link w:val="Ttulo4Car"/>
    <w:rsid w:val="00274D6D"/>
    <w:pPr>
      <w:keepNext/>
      <w:keepLines/>
      <w:spacing w:before="240" w:after="40"/>
      <w:contextualSpacing/>
      <w:outlineLvl w:val="3"/>
    </w:pPr>
    <w:rPr>
      <w:b/>
      <w:sz w:val="24"/>
    </w:rPr>
  </w:style>
  <w:style w:type="paragraph" w:styleId="Ttulo5">
    <w:name w:val="heading 5"/>
    <w:basedOn w:val="Normal"/>
    <w:next w:val="Normal"/>
    <w:link w:val="Ttulo5Car"/>
    <w:rsid w:val="00274D6D"/>
    <w:pPr>
      <w:keepNext/>
      <w:keepLines/>
      <w:spacing w:before="220" w:after="40"/>
      <w:contextualSpacing/>
      <w:outlineLvl w:val="4"/>
    </w:pPr>
    <w:rPr>
      <w:b/>
    </w:rPr>
  </w:style>
  <w:style w:type="paragraph" w:styleId="Ttulo6">
    <w:name w:val="heading 6"/>
    <w:basedOn w:val="Normal"/>
    <w:next w:val="Normal"/>
    <w:link w:val="Ttulo6Car"/>
    <w:rsid w:val="00274D6D"/>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4D6D"/>
    <w:rPr>
      <w:rFonts w:ascii="Calibri" w:eastAsia="Calibri" w:hAnsi="Calibri" w:cs="Calibri"/>
      <w:b/>
      <w:color w:val="000000"/>
      <w:sz w:val="48"/>
      <w:szCs w:val="20"/>
      <w:lang w:eastAsia="es-CO"/>
    </w:rPr>
  </w:style>
  <w:style w:type="character" w:customStyle="1" w:styleId="Ttulo2Car">
    <w:name w:val="Título 2 Car"/>
    <w:basedOn w:val="Fuentedeprrafopredeter"/>
    <w:link w:val="Ttulo2"/>
    <w:rsid w:val="00274D6D"/>
    <w:rPr>
      <w:rFonts w:ascii="Calibri" w:eastAsia="Calibri" w:hAnsi="Calibri" w:cs="Calibri"/>
      <w:b/>
      <w:color w:val="000000"/>
      <w:sz w:val="36"/>
      <w:szCs w:val="20"/>
      <w:lang w:eastAsia="es-CO"/>
    </w:rPr>
  </w:style>
  <w:style w:type="character" w:customStyle="1" w:styleId="Ttulo3Car">
    <w:name w:val="Título 3 Car"/>
    <w:basedOn w:val="Fuentedeprrafopredeter"/>
    <w:link w:val="Ttulo3"/>
    <w:rsid w:val="00274D6D"/>
    <w:rPr>
      <w:rFonts w:ascii="Calibri" w:eastAsia="Calibri" w:hAnsi="Calibri" w:cs="Calibri"/>
      <w:b/>
      <w:color w:val="000000"/>
      <w:sz w:val="28"/>
      <w:szCs w:val="20"/>
      <w:lang w:eastAsia="es-CO"/>
    </w:rPr>
  </w:style>
  <w:style w:type="character" w:customStyle="1" w:styleId="Ttulo4Car">
    <w:name w:val="Título 4 Car"/>
    <w:basedOn w:val="Fuentedeprrafopredeter"/>
    <w:link w:val="Ttulo4"/>
    <w:rsid w:val="00274D6D"/>
    <w:rPr>
      <w:rFonts w:ascii="Calibri" w:eastAsia="Calibri" w:hAnsi="Calibri" w:cs="Calibri"/>
      <w:b/>
      <w:color w:val="000000"/>
      <w:sz w:val="24"/>
      <w:szCs w:val="20"/>
      <w:lang w:eastAsia="es-CO"/>
    </w:rPr>
  </w:style>
  <w:style w:type="character" w:customStyle="1" w:styleId="Ttulo5Car">
    <w:name w:val="Título 5 Car"/>
    <w:basedOn w:val="Fuentedeprrafopredeter"/>
    <w:link w:val="Ttulo5"/>
    <w:rsid w:val="00274D6D"/>
    <w:rPr>
      <w:rFonts w:ascii="Calibri" w:eastAsia="Calibri" w:hAnsi="Calibri" w:cs="Calibri"/>
      <w:b/>
      <w:color w:val="000000"/>
      <w:szCs w:val="20"/>
      <w:lang w:eastAsia="es-CO"/>
    </w:rPr>
  </w:style>
  <w:style w:type="character" w:customStyle="1" w:styleId="Ttulo6Car">
    <w:name w:val="Título 6 Car"/>
    <w:basedOn w:val="Fuentedeprrafopredeter"/>
    <w:link w:val="Ttulo6"/>
    <w:rsid w:val="00274D6D"/>
    <w:rPr>
      <w:rFonts w:ascii="Calibri" w:eastAsia="Calibri" w:hAnsi="Calibri" w:cs="Calibri"/>
      <w:b/>
      <w:color w:val="000000"/>
      <w:sz w:val="20"/>
      <w:szCs w:val="20"/>
      <w:lang w:eastAsia="es-CO"/>
    </w:rPr>
  </w:style>
  <w:style w:type="table" w:customStyle="1" w:styleId="TableNormal">
    <w:name w:val="Table Normal"/>
    <w:rsid w:val="00274D6D"/>
    <w:rPr>
      <w:rFonts w:ascii="Calibri" w:eastAsia="Calibri" w:hAnsi="Calibri" w:cs="Calibri"/>
      <w:color w:val="000000"/>
      <w:szCs w:val="20"/>
      <w:lang w:eastAsia="es-CO"/>
    </w:rPr>
    <w:tblPr>
      <w:tblCellMar>
        <w:top w:w="0" w:type="dxa"/>
        <w:left w:w="0" w:type="dxa"/>
        <w:bottom w:w="0" w:type="dxa"/>
        <w:right w:w="0" w:type="dxa"/>
      </w:tblCellMar>
    </w:tblPr>
  </w:style>
  <w:style w:type="paragraph" w:styleId="Ttulo">
    <w:name w:val="Title"/>
    <w:basedOn w:val="Normal"/>
    <w:next w:val="Normal"/>
    <w:link w:val="TtuloCar"/>
    <w:rsid w:val="00274D6D"/>
    <w:pPr>
      <w:keepNext/>
      <w:keepLines/>
      <w:spacing w:before="480" w:after="120"/>
      <w:contextualSpacing/>
    </w:pPr>
    <w:rPr>
      <w:b/>
      <w:sz w:val="72"/>
    </w:rPr>
  </w:style>
  <w:style w:type="character" w:customStyle="1" w:styleId="TtuloCar">
    <w:name w:val="Título Car"/>
    <w:basedOn w:val="Fuentedeprrafopredeter"/>
    <w:link w:val="Ttulo"/>
    <w:rsid w:val="00274D6D"/>
    <w:rPr>
      <w:rFonts w:ascii="Calibri" w:eastAsia="Calibri" w:hAnsi="Calibri" w:cs="Calibri"/>
      <w:b/>
      <w:color w:val="000000"/>
      <w:sz w:val="72"/>
      <w:szCs w:val="20"/>
      <w:lang w:eastAsia="es-CO"/>
    </w:rPr>
  </w:style>
  <w:style w:type="paragraph" w:styleId="Subttulo">
    <w:name w:val="Subtitle"/>
    <w:basedOn w:val="Normal"/>
    <w:next w:val="Normal"/>
    <w:link w:val="SubttuloCar"/>
    <w:rsid w:val="00274D6D"/>
    <w:pPr>
      <w:keepNext/>
      <w:keepLines/>
      <w:spacing w:before="360" w:after="80"/>
      <w:contextualSpacing/>
    </w:pPr>
    <w:rPr>
      <w:rFonts w:ascii="Georgia" w:eastAsia="Georgia" w:hAnsi="Georgia" w:cs="Georgia"/>
      <w:i/>
      <w:color w:val="666666"/>
      <w:sz w:val="48"/>
    </w:rPr>
  </w:style>
  <w:style w:type="character" w:customStyle="1" w:styleId="SubttuloCar">
    <w:name w:val="Subtítulo Car"/>
    <w:basedOn w:val="Fuentedeprrafopredeter"/>
    <w:link w:val="Subttulo"/>
    <w:rsid w:val="00274D6D"/>
    <w:rPr>
      <w:rFonts w:ascii="Georgia" w:eastAsia="Georgia" w:hAnsi="Georgia" w:cs="Georgia"/>
      <w:i/>
      <w:color w:val="666666"/>
      <w:sz w:val="48"/>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a.edu.co/doc/a005795.html" TargetMode="External"/><Relationship Id="rId3" Type="http://schemas.openxmlformats.org/officeDocument/2006/relationships/settings" Target="settings.xml"/><Relationship Id="rId7" Type="http://schemas.openxmlformats.org/officeDocument/2006/relationships/hyperlink" Target="http://www.udea.edu.co/doc/a00579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dea.edu.co/gob/estatuto.html" TargetMode="External"/><Relationship Id="rId11" Type="http://schemas.openxmlformats.org/officeDocument/2006/relationships/theme" Target="theme/theme1.xml"/><Relationship Id="rId5" Type="http://schemas.openxmlformats.org/officeDocument/2006/relationships/hyperlink" Target="http://www.udea.edu.co/gob/estatut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dea.edu.co/doc/a00579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3440</Words>
  <Characters>18922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 Apoyo</dc:creator>
  <cp:lastModifiedBy>usuario</cp:lastModifiedBy>
  <cp:revision>4</cp:revision>
  <dcterms:created xsi:type="dcterms:W3CDTF">2016-02-15T19:53:00Z</dcterms:created>
  <dcterms:modified xsi:type="dcterms:W3CDTF">2016-04-19T21:39:00Z</dcterms:modified>
</cp:coreProperties>
</file>