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44" w:rsidRDefault="001F6344" w:rsidP="001F6344">
      <w:r w:rsidRPr="00950FDD">
        <w:rPr>
          <w:b/>
          <w:bCs/>
        </w:rPr>
        <w:t>Tabla 1.</w:t>
      </w:r>
      <w:r>
        <w:t xml:space="preserve"> </w:t>
      </w:r>
      <w:r w:rsidRPr="00950FDD">
        <w:rPr>
          <w:u w:val="single"/>
        </w:rPr>
        <w:t>Ejemplo</w:t>
      </w:r>
      <w:r>
        <w:t xml:space="preserve"> de cómo establecer el presupuesto en el proyecto de investigación. </w:t>
      </w:r>
      <w:r w:rsidRPr="001F6344">
        <w:rPr>
          <w:i/>
          <w:color w:val="FF0000"/>
        </w:rPr>
        <w:t>(La siguiente tabl</w:t>
      </w:r>
      <w:r>
        <w:rPr>
          <w:i/>
          <w:color w:val="FF0000"/>
        </w:rPr>
        <w:t>a</w:t>
      </w:r>
      <w:r w:rsidRPr="001F6344">
        <w:rPr>
          <w:i/>
          <w:color w:val="FF0000"/>
        </w:rPr>
        <w:t xml:space="preserve"> es sólo un ejemplo, debe verificar los montos y agregar o eliminar los campos que considere </w:t>
      </w:r>
      <w:r>
        <w:rPr>
          <w:i/>
          <w:color w:val="FF0000"/>
        </w:rPr>
        <w:t>necesarios</w:t>
      </w:r>
      <w:r w:rsidRPr="001F6344">
        <w:rPr>
          <w:i/>
          <w:color w:val="FF0000"/>
        </w:rPr>
        <w:t>)</w:t>
      </w:r>
    </w:p>
    <w:p w:rsidR="00950FDD" w:rsidRDefault="00950FDD" w:rsidP="00950FDD">
      <w:pPr>
        <w:rPr>
          <w:b/>
          <w:bCs/>
        </w:rPr>
      </w:pPr>
    </w:p>
    <w:p w:rsidR="00950FDD" w:rsidRDefault="00950FDD" w:rsidP="00950FDD">
      <w:pPr>
        <w:rPr>
          <w:b/>
          <w:bCs/>
        </w:rPr>
      </w:pPr>
    </w:p>
    <w:tbl>
      <w:tblPr>
        <w:tblW w:w="11001" w:type="dxa"/>
        <w:tblCellMar>
          <w:left w:w="70" w:type="dxa"/>
          <w:right w:w="70" w:type="dxa"/>
        </w:tblCellMar>
        <w:tblLook w:val="04A0" w:firstRow="1" w:lastRow="0" w:firstColumn="1" w:lastColumn="0" w:noHBand="0" w:noVBand="1"/>
      </w:tblPr>
      <w:tblGrid>
        <w:gridCol w:w="381"/>
        <w:gridCol w:w="3560"/>
        <w:gridCol w:w="1980"/>
        <w:gridCol w:w="1587"/>
        <w:gridCol w:w="1701"/>
        <w:gridCol w:w="1792"/>
      </w:tblGrid>
      <w:tr w:rsidR="00F716FD" w:rsidRPr="00F716FD" w:rsidTr="00F716FD">
        <w:trPr>
          <w:trHeight w:val="260"/>
        </w:trPr>
        <w:tc>
          <w:tcPr>
            <w:tcW w:w="38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w:t>
            </w:r>
          </w:p>
        </w:tc>
        <w:tc>
          <w:tcPr>
            <w:tcW w:w="3560" w:type="dxa"/>
            <w:tcBorders>
              <w:top w:val="single" w:sz="4" w:space="0" w:color="D9D9D9"/>
              <w:left w:val="nil"/>
              <w:bottom w:val="nil"/>
              <w:right w:val="single" w:sz="4" w:space="0" w:color="D9D9D9"/>
            </w:tcBorders>
            <w:shd w:val="clear" w:color="000000" w:fill="FFFFFF"/>
            <w:noWrap/>
            <w:vAlign w:val="center"/>
            <w:hideMark/>
          </w:tcPr>
          <w:p w:rsidR="00F716FD" w:rsidRPr="00F716FD" w:rsidRDefault="00F716FD" w:rsidP="00F716FD">
            <w:pPr>
              <w:jc w:val="center"/>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A</w:t>
            </w:r>
          </w:p>
        </w:tc>
        <w:tc>
          <w:tcPr>
            <w:tcW w:w="1980" w:type="dxa"/>
            <w:tcBorders>
              <w:top w:val="single" w:sz="4" w:space="0" w:color="D9D9D9"/>
              <w:left w:val="nil"/>
              <w:bottom w:val="nil"/>
              <w:right w:val="single" w:sz="4" w:space="0" w:color="D9D9D9"/>
            </w:tcBorders>
            <w:shd w:val="clear" w:color="000000" w:fill="FFFFFF"/>
            <w:noWrap/>
            <w:vAlign w:val="center"/>
            <w:hideMark/>
          </w:tcPr>
          <w:p w:rsidR="00F716FD" w:rsidRPr="00F716FD" w:rsidRDefault="00F716FD" w:rsidP="00F716FD">
            <w:pPr>
              <w:jc w:val="center"/>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B</w:t>
            </w:r>
          </w:p>
        </w:tc>
        <w:tc>
          <w:tcPr>
            <w:tcW w:w="1587" w:type="dxa"/>
            <w:tcBorders>
              <w:top w:val="single" w:sz="4" w:space="0" w:color="D9D9D9"/>
              <w:left w:val="nil"/>
              <w:bottom w:val="nil"/>
              <w:right w:val="single" w:sz="4" w:space="0" w:color="D9D9D9"/>
            </w:tcBorders>
            <w:shd w:val="clear" w:color="000000" w:fill="FFFFFF"/>
            <w:noWrap/>
            <w:vAlign w:val="center"/>
            <w:hideMark/>
          </w:tcPr>
          <w:p w:rsidR="00F716FD" w:rsidRPr="00F716FD" w:rsidRDefault="00F716FD" w:rsidP="00F716FD">
            <w:pPr>
              <w:jc w:val="center"/>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C</w:t>
            </w:r>
          </w:p>
        </w:tc>
        <w:tc>
          <w:tcPr>
            <w:tcW w:w="1701" w:type="dxa"/>
            <w:tcBorders>
              <w:top w:val="single" w:sz="4" w:space="0" w:color="D9D9D9"/>
              <w:left w:val="nil"/>
              <w:bottom w:val="nil"/>
              <w:right w:val="nil"/>
            </w:tcBorders>
            <w:shd w:val="clear" w:color="000000" w:fill="FFFFFF"/>
            <w:noWrap/>
            <w:vAlign w:val="center"/>
            <w:hideMark/>
          </w:tcPr>
          <w:p w:rsidR="00F716FD" w:rsidRPr="00F716FD" w:rsidRDefault="00F716FD" w:rsidP="00F716FD">
            <w:pPr>
              <w:jc w:val="center"/>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 </w:t>
            </w:r>
          </w:p>
        </w:tc>
        <w:tc>
          <w:tcPr>
            <w:tcW w:w="1792" w:type="dxa"/>
            <w:tcBorders>
              <w:top w:val="single" w:sz="4" w:space="0" w:color="D9D9D9"/>
              <w:left w:val="nil"/>
              <w:bottom w:val="nil"/>
              <w:right w:val="single" w:sz="4" w:space="0" w:color="D9D9D9"/>
            </w:tcBorders>
            <w:shd w:val="clear" w:color="000000" w:fill="FFFFFF"/>
            <w:noWrap/>
            <w:vAlign w:val="center"/>
            <w:hideMark/>
          </w:tcPr>
          <w:p w:rsidR="00F716FD" w:rsidRPr="00F716FD" w:rsidRDefault="00F716FD" w:rsidP="00F716FD">
            <w:pPr>
              <w:jc w:val="center"/>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D</w:t>
            </w:r>
          </w:p>
        </w:tc>
      </w:tr>
      <w:tr w:rsidR="00F716FD" w:rsidRPr="00F716FD" w:rsidTr="00F716FD">
        <w:trPr>
          <w:trHeight w:val="320"/>
        </w:trPr>
        <w:tc>
          <w:tcPr>
            <w:tcW w:w="381" w:type="dxa"/>
            <w:vMerge w:val="restart"/>
            <w:tcBorders>
              <w:top w:val="nil"/>
              <w:left w:val="single" w:sz="4" w:space="0" w:color="D9D9D9"/>
              <w:bottom w:val="single" w:sz="4" w:space="0" w:color="D9D9D9"/>
              <w:right w:val="single" w:sz="4" w:space="0" w:color="808080"/>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2</w:t>
            </w:r>
          </w:p>
        </w:tc>
        <w:tc>
          <w:tcPr>
            <w:tcW w:w="3560" w:type="dxa"/>
            <w:vMerge w:val="restart"/>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2"/>
                <w:szCs w:val="22"/>
                <w:lang w:eastAsia="es-ES_tradnl"/>
              </w:rPr>
            </w:pPr>
            <w:r w:rsidRPr="00F716FD">
              <w:rPr>
                <w:rFonts w:ascii="Trebuchet MS" w:eastAsia="Times New Roman" w:hAnsi="Trebuchet MS" w:cs="Times New Roman"/>
                <w:b/>
                <w:bCs/>
                <w:color w:val="000000"/>
                <w:sz w:val="22"/>
                <w:szCs w:val="22"/>
                <w:lang w:eastAsia="es-ES_tradnl"/>
              </w:rPr>
              <w:t>Rubros </w:t>
            </w:r>
          </w:p>
        </w:tc>
        <w:tc>
          <w:tcPr>
            <w:tcW w:w="1980" w:type="dxa"/>
            <w:vMerge w:val="restart"/>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2"/>
                <w:szCs w:val="22"/>
                <w:lang w:eastAsia="es-ES_tradnl"/>
              </w:rPr>
            </w:pPr>
            <w:r w:rsidRPr="00F716FD">
              <w:rPr>
                <w:rFonts w:ascii="Trebuchet MS" w:eastAsia="Times New Roman" w:hAnsi="Trebuchet MS" w:cs="Times New Roman"/>
                <w:b/>
                <w:bCs/>
                <w:color w:val="000000"/>
                <w:sz w:val="22"/>
                <w:szCs w:val="22"/>
                <w:lang w:eastAsia="es-ES_tradnl"/>
              </w:rPr>
              <w:t>Financiado $</w:t>
            </w:r>
          </w:p>
        </w:tc>
        <w:tc>
          <w:tcPr>
            <w:tcW w:w="3288" w:type="dxa"/>
            <w:gridSpan w:val="2"/>
            <w:tcBorders>
              <w:top w:val="single" w:sz="4" w:space="0" w:color="808080"/>
              <w:left w:val="nil"/>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2"/>
                <w:szCs w:val="22"/>
                <w:lang w:eastAsia="es-ES_tradnl"/>
              </w:rPr>
            </w:pPr>
            <w:r w:rsidRPr="00F716FD">
              <w:rPr>
                <w:rFonts w:ascii="Trebuchet MS" w:eastAsia="Times New Roman" w:hAnsi="Trebuchet MS" w:cs="Times New Roman"/>
                <w:b/>
                <w:bCs/>
                <w:color w:val="000000"/>
                <w:sz w:val="22"/>
                <w:szCs w:val="22"/>
                <w:lang w:eastAsia="es-ES_tradnl"/>
              </w:rPr>
              <w:t>Contrapartida Consolidada $ </w:t>
            </w:r>
          </w:p>
        </w:tc>
        <w:tc>
          <w:tcPr>
            <w:tcW w:w="1792" w:type="dxa"/>
            <w:vMerge w:val="restart"/>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2"/>
                <w:szCs w:val="22"/>
                <w:lang w:eastAsia="es-ES_tradnl"/>
              </w:rPr>
            </w:pPr>
            <w:r w:rsidRPr="00F716FD">
              <w:rPr>
                <w:rFonts w:ascii="Trebuchet MS" w:eastAsia="Times New Roman" w:hAnsi="Trebuchet MS" w:cs="Times New Roman"/>
                <w:b/>
                <w:bCs/>
                <w:color w:val="000000"/>
                <w:sz w:val="22"/>
                <w:szCs w:val="22"/>
                <w:lang w:eastAsia="es-ES_tradnl"/>
              </w:rPr>
              <w:t>Total $ </w:t>
            </w:r>
          </w:p>
        </w:tc>
      </w:tr>
      <w:tr w:rsidR="00F716FD" w:rsidRPr="00F716FD" w:rsidTr="00F716FD">
        <w:trPr>
          <w:trHeight w:val="280"/>
        </w:trPr>
        <w:tc>
          <w:tcPr>
            <w:tcW w:w="381" w:type="dxa"/>
            <w:vMerge/>
            <w:tcBorders>
              <w:top w:val="nil"/>
              <w:left w:val="single" w:sz="4" w:space="0" w:color="D9D9D9"/>
              <w:bottom w:val="single" w:sz="4" w:space="0" w:color="D9D9D9"/>
              <w:right w:val="single" w:sz="4" w:space="0" w:color="808080"/>
            </w:tcBorders>
            <w:vAlign w:val="center"/>
            <w:hideMark/>
          </w:tcPr>
          <w:p w:rsidR="00F716FD" w:rsidRPr="00F716FD" w:rsidRDefault="00F716FD" w:rsidP="00F716FD">
            <w:pPr>
              <w:rPr>
                <w:rFonts w:ascii="Andale Mono" w:eastAsia="Times New Roman" w:hAnsi="Andale Mono" w:cs="Times New Roman"/>
                <w:color w:val="808080"/>
                <w:sz w:val="20"/>
                <w:szCs w:val="20"/>
                <w:lang w:eastAsia="es-ES_tradnl"/>
              </w:rPr>
            </w:pPr>
          </w:p>
        </w:tc>
        <w:tc>
          <w:tcPr>
            <w:tcW w:w="3560" w:type="dxa"/>
            <w:vMerge/>
            <w:tcBorders>
              <w:top w:val="single" w:sz="4" w:space="0" w:color="808080"/>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b/>
                <w:bCs/>
                <w:color w:val="000000"/>
                <w:sz w:val="22"/>
                <w:szCs w:val="22"/>
                <w:lang w:eastAsia="es-ES_tradnl"/>
              </w:rPr>
            </w:pPr>
          </w:p>
        </w:tc>
        <w:tc>
          <w:tcPr>
            <w:tcW w:w="1980" w:type="dxa"/>
            <w:vMerge/>
            <w:tcBorders>
              <w:top w:val="single" w:sz="4" w:space="0" w:color="808080"/>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b/>
                <w:bCs/>
                <w:color w:val="000000"/>
                <w:sz w:val="22"/>
                <w:szCs w:val="22"/>
                <w:lang w:eastAsia="es-ES_tradnl"/>
              </w:rPr>
            </w:pPr>
          </w:p>
        </w:tc>
        <w:tc>
          <w:tcPr>
            <w:tcW w:w="1587" w:type="dxa"/>
            <w:tcBorders>
              <w:top w:val="nil"/>
              <w:left w:val="nil"/>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2"/>
                <w:szCs w:val="22"/>
                <w:lang w:eastAsia="es-ES_tradnl"/>
              </w:rPr>
            </w:pPr>
            <w:r w:rsidRPr="00F716FD">
              <w:rPr>
                <w:rFonts w:ascii="Trebuchet MS" w:eastAsia="Times New Roman" w:hAnsi="Trebuchet MS" w:cs="Times New Roman"/>
                <w:b/>
                <w:bCs/>
                <w:color w:val="000000"/>
                <w:sz w:val="22"/>
                <w:szCs w:val="22"/>
                <w:lang w:eastAsia="es-ES_tradnl"/>
              </w:rPr>
              <w:t>Efectivo $</w:t>
            </w:r>
          </w:p>
        </w:tc>
        <w:tc>
          <w:tcPr>
            <w:tcW w:w="1701" w:type="dxa"/>
            <w:tcBorders>
              <w:top w:val="nil"/>
              <w:left w:val="nil"/>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2"/>
                <w:szCs w:val="22"/>
                <w:lang w:eastAsia="es-ES_tradnl"/>
              </w:rPr>
            </w:pPr>
            <w:r w:rsidRPr="00F716FD">
              <w:rPr>
                <w:rFonts w:ascii="Trebuchet MS" w:eastAsia="Times New Roman" w:hAnsi="Trebuchet MS" w:cs="Times New Roman"/>
                <w:b/>
                <w:bCs/>
                <w:color w:val="000000"/>
                <w:sz w:val="22"/>
                <w:szCs w:val="22"/>
                <w:lang w:eastAsia="es-ES_tradnl"/>
              </w:rPr>
              <w:t>Especie $</w:t>
            </w:r>
          </w:p>
        </w:tc>
        <w:tc>
          <w:tcPr>
            <w:tcW w:w="1792" w:type="dxa"/>
            <w:vMerge/>
            <w:tcBorders>
              <w:top w:val="single" w:sz="4" w:space="0" w:color="808080"/>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b/>
                <w:bCs/>
                <w:color w:val="000000"/>
                <w:sz w:val="22"/>
                <w:szCs w:val="22"/>
                <w:lang w:eastAsia="es-ES_tradnl"/>
              </w:rPr>
            </w:pP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3</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EQUIPOS</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$200.000.000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$100.000.000</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$305.000.000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4</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BIBLIOGRAFIA </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5</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PERSONAL CIENTÍFICO</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$1.000.000.000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$300.000.000</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$1.300.000.000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6</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MATERIALES E INSUMOS</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$200.000.000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$200.000.000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7</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SERVICIOS TÉCNICOS</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$11.500.000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$16.500.000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8</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VIAJES</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9</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SALIDAS DE CAMPO</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$5.000.000</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$20.000.000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10</w:t>
            </w:r>
          </w:p>
        </w:tc>
        <w:tc>
          <w:tcPr>
            <w:tcW w:w="3560" w:type="dxa"/>
            <w:tcBorders>
              <w:top w:val="nil"/>
              <w:left w:val="single" w:sz="4" w:space="0" w:color="808080"/>
              <w:bottom w:val="single" w:sz="4" w:space="0" w:color="808080"/>
              <w:right w:val="single" w:sz="4" w:space="0" w:color="808080"/>
            </w:tcBorders>
            <w:shd w:val="clear" w:color="auto" w:fill="auto"/>
            <w:noWrap/>
            <w:vAlign w:val="bottom"/>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EVENTOS ACADEMICOS </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11</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COSTOS DE REGISTRO</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12</w:t>
            </w:r>
          </w:p>
        </w:tc>
        <w:tc>
          <w:tcPr>
            <w:tcW w:w="3560" w:type="dxa"/>
            <w:tcBorders>
              <w:top w:val="nil"/>
              <w:left w:val="single" w:sz="4" w:space="0" w:color="808080"/>
              <w:bottom w:val="single" w:sz="4" w:space="0" w:color="808080"/>
              <w:right w:val="single" w:sz="4" w:space="0" w:color="808080"/>
            </w:tcBorders>
            <w:shd w:val="clear" w:color="auto" w:fill="auto"/>
            <w:noWrap/>
            <w:vAlign w:val="bottom"/>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SOFTWARE </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r>
      <w:tr w:rsidR="00F716FD" w:rsidRPr="00F716FD" w:rsidTr="00F716FD">
        <w:trPr>
          <w:trHeight w:val="54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13</w:t>
            </w:r>
          </w:p>
        </w:tc>
        <w:tc>
          <w:tcPr>
            <w:tcW w:w="3560" w:type="dxa"/>
            <w:tcBorders>
              <w:top w:val="nil"/>
              <w:left w:val="single" w:sz="4" w:space="0" w:color="808080"/>
              <w:bottom w:val="single" w:sz="4" w:space="0" w:color="808080"/>
              <w:right w:val="single" w:sz="4" w:space="0" w:color="808080"/>
            </w:tcBorders>
            <w:shd w:val="clear" w:color="000000" w:fill="FFFFFF"/>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ADECUACIÒN DE INFRAESTRUCTURA</w:t>
            </w:r>
            <w:r w:rsidRPr="00F716FD">
              <w:rPr>
                <w:rFonts w:ascii="Trebuchet MS" w:eastAsia="Times New Roman" w:hAnsi="Trebuchet MS" w:cs="Times New Roman"/>
                <w:color w:val="000000"/>
                <w:sz w:val="20"/>
                <w:szCs w:val="20"/>
                <w:lang w:eastAsia="es-ES_tradnl"/>
              </w:rPr>
              <w:br/>
            </w:r>
            <w:r w:rsidRPr="00F716FD">
              <w:rPr>
                <w:rFonts w:ascii="Trebuchet MS" w:eastAsia="Times New Roman" w:hAnsi="Trebuchet MS" w:cs="Times New Roman"/>
                <w:color w:val="000000"/>
                <w:sz w:val="18"/>
                <w:szCs w:val="18"/>
                <w:lang w:eastAsia="es-ES_tradnl"/>
              </w:rPr>
              <w:t>(máximo 10% del monto solicitado)</w:t>
            </w: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$150.000.000</w:t>
            </w:r>
          </w:p>
        </w:tc>
      </w:tr>
      <w:tr w:rsidR="00F716FD" w:rsidRPr="00F716FD" w:rsidTr="00F716FD">
        <w:trPr>
          <w:trHeight w:val="280"/>
        </w:trPr>
        <w:tc>
          <w:tcPr>
            <w:tcW w:w="381" w:type="dxa"/>
            <w:tcBorders>
              <w:top w:val="nil"/>
              <w:left w:val="single" w:sz="4" w:space="0" w:color="D9D9D9"/>
              <w:bottom w:val="single" w:sz="4" w:space="0" w:color="D9D9D9"/>
              <w:right w:val="nil"/>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14</w:t>
            </w:r>
          </w:p>
        </w:tc>
        <w:tc>
          <w:tcPr>
            <w:tcW w:w="356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SERVICIOS TÉCNICOS ESPECIALIZADOS</w:t>
            </w:r>
          </w:p>
        </w:tc>
        <w:tc>
          <w:tcPr>
            <w:tcW w:w="1980" w:type="dxa"/>
            <w:tcBorders>
              <w:top w:val="nil"/>
              <w:left w:val="nil"/>
              <w:bottom w:val="nil"/>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$71.000.000</w:t>
            </w:r>
          </w:p>
        </w:tc>
        <w:tc>
          <w:tcPr>
            <w:tcW w:w="1587"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$71.000.000</w:t>
            </w:r>
          </w:p>
        </w:tc>
      </w:tr>
      <w:tr w:rsidR="00F716FD" w:rsidRPr="00F716FD" w:rsidTr="00F716FD">
        <w:trPr>
          <w:trHeight w:val="580"/>
        </w:trPr>
        <w:tc>
          <w:tcPr>
            <w:tcW w:w="381" w:type="dxa"/>
            <w:vMerge w:val="restart"/>
            <w:tcBorders>
              <w:top w:val="nil"/>
              <w:left w:val="single" w:sz="4" w:space="0" w:color="D9D9D9"/>
              <w:bottom w:val="single" w:sz="4" w:space="0" w:color="D9D9D9"/>
              <w:right w:val="single" w:sz="4" w:space="0" w:color="808080"/>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15</w:t>
            </w:r>
          </w:p>
        </w:tc>
        <w:tc>
          <w:tcPr>
            <w:tcW w:w="3560" w:type="dxa"/>
            <w:vMerge w:val="restart"/>
            <w:tcBorders>
              <w:top w:val="nil"/>
              <w:left w:val="single" w:sz="4" w:space="0" w:color="808080"/>
              <w:bottom w:val="single" w:sz="4" w:space="0" w:color="808080"/>
              <w:right w:val="nil"/>
            </w:tcBorders>
            <w:shd w:val="clear" w:color="000000" w:fill="FFFFFF"/>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xml:space="preserve">GASTOS DE OPERACIÓN </w:t>
            </w:r>
            <w:r w:rsidRPr="00F716FD">
              <w:rPr>
                <w:rFonts w:ascii="Trebuchet MS" w:eastAsia="Times New Roman" w:hAnsi="Trebuchet MS" w:cs="Times New Roman"/>
                <w:color w:val="000000"/>
                <w:sz w:val="20"/>
                <w:szCs w:val="20"/>
                <w:lang w:eastAsia="es-ES_tradnl"/>
              </w:rPr>
              <w:br/>
            </w:r>
            <w:r w:rsidRPr="00F716FD">
              <w:rPr>
                <w:rFonts w:ascii="Trebuchet MS" w:eastAsia="Times New Roman" w:hAnsi="Trebuchet MS" w:cs="Times New Roman"/>
                <w:color w:val="000000"/>
                <w:sz w:val="18"/>
                <w:szCs w:val="18"/>
                <w:lang w:eastAsia="es-ES_tradnl"/>
              </w:rPr>
              <w:t>(Hasta el 7% del valor obtenido de la sumatoria de todos los rubros, menos seguimiento y evaluación)</w:t>
            </w:r>
          </w:p>
        </w:tc>
        <w:tc>
          <w:tcPr>
            <w:tcW w:w="1980" w:type="dxa"/>
            <w:tcBorders>
              <w:top w:val="single" w:sz="4" w:space="0" w:color="808080"/>
              <w:left w:val="single" w:sz="4" w:space="0" w:color="808080"/>
              <w:bottom w:val="nil"/>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$124.565.000</w:t>
            </w:r>
          </w:p>
        </w:tc>
        <w:tc>
          <w:tcPr>
            <w:tcW w:w="1587"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tcBorders>
              <w:top w:val="nil"/>
              <w:left w:val="nil"/>
              <w:bottom w:val="nil"/>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$124.565.000</w:t>
            </w:r>
          </w:p>
        </w:tc>
      </w:tr>
      <w:tr w:rsidR="00F716FD" w:rsidRPr="00F716FD" w:rsidTr="00F716FD">
        <w:trPr>
          <w:trHeight w:val="420"/>
        </w:trPr>
        <w:tc>
          <w:tcPr>
            <w:tcW w:w="381" w:type="dxa"/>
            <w:vMerge/>
            <w:tcBorders>
              <w:top w:val="nil"/>
              <w:left w:val="single" w:sz="4" w:space="0" w:color="D9D9D9"/>
              <w:bottom w:val="single" w:sz="4" w:space="0" w:color="D9D9D9"/>
              <w:right w:val="single" w:sz="4" w:space="0" w:color="808080"/>
            </w:tcBorders>
            <w:vAlign w:val="center"/>
            <w:hideMark/>
          </w:tcPr>
          <w:p w:rsidR="00F716FD" w:rsidRPr="00F716FD" w:rsidRDefault="00F716FD" w:rsidP="00F716FD">
            <w:pPr>
              <w:rPr>
                <w:rFonts w:ascii="Andale Mono" w:eastAsia="Times New Roman" w:hAnsi="Andale Mono" w:cs="Times New Roman"/>
                <w:color w:val="808080"/>
                <w:sz w:val="20"/>
                <w:szCs w:val="20"/>
                <w:lang w:eastAsia="es-ES_tradnl"/>
              </w:rPr>
            </w:pPr>
          </w:p>
        </w:tc>
        <w:tc>
          <w:tcPr>
            <w:tcW w:w="3560" w:type="dxa"/>
            <w:vMerge/>
            <w:tcBorders>
              <w:top w:val="nil"/>
              <w:left w:val="single" w:sz="4" w:space="0" w:color="808080"/>
              <w:bottom w:val="single" w:sz="4" w:space="0" w:color="808080"/>
              <w:right w:val="nil"/>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980" w:type="dxa"/>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FF0000"/>
                <w:sz w:val="18"/>
                <w:szCs w:val="18"/>
                <w:lang w:eastAsia="es-ES_tradnl"/>
              </w:rPr>
            </w:pPr>
            <w:r w:rsidRPr="00F716FD">
              <w:rPr>
                <w:rFonts w:ascii="Trebuchet MS" w:eastAsia="Times New Roman" w:hAnsi="Trebuchet MS" w:cs="Times New Roman"/>
                <w:color w:val="FF0000"/>
                <w:sz w:val="18"/>
                <w:szCs w:val="18"/>
                <w:lang w:eastAsia="es-ES_tradnl"/>
              </w:rPr>
              <w:t>=SUMA(B3:B14)*0,07</w:t>
            </w:r>
          </w:p>
        </w:tc>
        <w:tc>
          <w:tcPr>
            <w:tcW w:w="1587"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01"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92"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FF0000"/>
                <w:sz w:val="18"/>
                <w:szCs w:val="18"/>
                <w:lang w:eastAsia="es-ES_tradnl"/>
              </w:rPr>
            </w:pPr>
            <w:r w:rsidRPr="00F716FD">
              <w:rPr>
                <w:rFonts w:ascii="Trebuchet MS" w:eastAsia="Times New Roman" w:hAnsi="Trebuchet MS" w:cs="Times New Roman"/>
                <w:color w:val="FF0000"/>
                <w:sz w:val="18"/>
                <w:szCs w:val="18"/>
                <w:lang w:eastAsia="es-ES_tradnl"/>
              </w:rPr>
              <w:t> </w:t>
            </w:r>
          </w:p>
        </w:tc>
      </w:tr>
      <w:tr w:rsidR="00F716FD" w:rsidRPr="00F716FD" w:rsidTr="00F716FD">
        <w:trPr>
          <w:trHeight w:val="280"/>
        </w:trPr>
        <w:tc>
          <w:tcPr>
            <w:tcW w:w="381" w:type="dxa"/>
            <w:vMerge w:val="restart"/>
            <w:tcBorders>
              <w:top w:val="nil"/>
              <w:left w:val="single" w:sz="4" w:space="0" w:color="D9D9D9"/>
              <w:bottom w:val="single" w:sz="4" w:space="0" w:color="D9D9D9"/>
              <w:right w:val="single" w:sz="4" w:space="0" w:color="808080"/>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16</w:t>
            </w:r>
          </w:p>
        </w:tc>
        <w:tc>
          <w:tcPr>
            <w:tcW w:w="3560"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0"/>
                <w:szCs w:val="20"/>
                <w:lang w:eastAsia="es-ES_tradnl"/>
              </w:rPr>
            </w:pPr>
            <w:r w:rsidRPr="00F716FD">
              <w:rPr>
                <w:rFonts w:ascii="Trebuchet MS" w:eastAsia="Times New Roman" w:hAnsi="Trebuchet MS" w:cs="Times New Roman"/>
                <w:b/>
                <w:bCs/>
                <w:color w:val="000000"/>
                <w:sz w:val="20"/>
                <w:szCs w:val="20"/>
                <w:lang w:eastAsia="es-ES_tradnl"/>
              </w:rPr>
              <w:t>Subtotal</w:t>
            </w:r>
          </w:p>
        </w:tc>
        <w:tc>
          <w:tcPr>
            <w:tcW w:w="1980" w:type="dxa"/>
            <w:tcBorders>
              <w:top w:val="nil"/>
              <w:left w:val="nil"/>
              <w:bottom w:val="nil"/>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$1.904.065.000</w:t>
            </w:r>
          </w:p>
        </w:tc>
        <w:tc>
          <w:tcPr>
            <w:tcW w:w="1587"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c>
          <w:tcPr>
            <w:tcW w:w="1701"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$400.000.000</w:t>
            </w:r>
          </w:p>
        </w:tc>
        <w:tc>
          <w:tcPr>
            <w:tcW w:w="1792"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$2.319.065.000</w:t>
            </w:r>
          </w:p>
        </w:tc>
      </w:tr>
      <w:tr w:rsidR="00F716FD" w:rsidRPr="00F716FD" w:rsidTr="00F716FD">
        <w:trPr>
          <w:trHeight w:val="280"/>
        </w:trPr>
        <w:tc>
          <w:tcPr>
            <w:tcW w:w="381" w:type="dxa"/>
            <w:vMerge/>
            <w:tcBorders>
              <w:top w:val="nil"/>
              <w:left w:val="single" w:sz="4" w:space="0" w:color="D9D9D9"/>
              <w:bottom w:val="single" w:sz="4" w:space="0" w:color="D9D9D9"/>
              <w:right w:val="single" w:sz="4" w:space="0" w:color="808080"/>
            </w:tcBorders>
            <w:vAlign w:val="center"/>
            <w:hideMark/>
          </w:tcPr>
          <w:p w:rsidR="00F716FD" w:rsidRPr="00F716FD" w:rsidRDefault="00F716FD" w:rsidP="00F716FD">
            <w:pPr>
              <w:rPr>
                <w:rFonts w:ascii="Andale Mono" w:eastAsia="Times New Roman" w:hAnsi="Andale Mono" w:cs="Times New Roman"/>
                <w:color w:val="808080"/>
                <w:sz w:val="20"/>
                <w:szCs w:val="20"/>
                <w:lang w:eastAsia="es-ES_tradnl"/>
              </w:rPr>
            </w:pPr>
          </w:p>
        </w:tc>
        <w:tc>
          <w:tcPr>
            <w:tcW w:w="3560"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b/>
                <w:bCs/>
                <w:color w:val="000000"/>
                <w:sz w:val="20"/>
                <w:szCs w:val="20"/>
                <w:lang w:eastAsia="es-ES_tradnl"/>
              </w:rPr>
            </w:pPr>
          </w:p>
        </w:tc>
        <w:tc>
          <w:tcPr>
            <w:tcW w:w="1980" w:type="dxa"/>
            <w:tcBorders>
              <w:top w:val="nil"/>
              <w:left w:val="nil"/>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FF0000"/>
                <w:sz w:val="18"/>
                <w:szCs w:val="18"/>
                <w:lang w:eastAsia="es-ES_tradnl"/>
              </w:rPr>
            </w:pPr>
            <w:r w:rsidRPr="00F716FD">
              <w:rPr>
                <w:rFonts w:ascii="Trebuchet MS" w:eastAsia="Times New Roman" w:hAnsi="Trebuchet MS" w:cs="Times New Roman"/>
                <w:color w:val="FF0000"/>
                <w:sz w:val="18"/>
                <w:szCs w:val="18"/>
                <w:lang w:eastAsia="es-ES_tradnl"/>
              </w:rPr>
              <w:t>=SUMA(B3:B14)+B15</w:t>
            </w:r>
          </w:p>
        </w:tc>
        <w:tc>
          <w:tcPr>
            <w:tcW w:w="1587"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01"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92"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r>
      <w:tr w:rsidR="00F716FD" w:rsidRPr="00F716FD" w:rsidTr="00F716FD">
        <w:trPr>
          <w:trHeight w:val="620"/>
        </w:trPr>
        <w:tc>
          <w:tcPr>
            <w:tcW w:w="381" w:type="dxa"/>
            <w:vMerge w:val="restart"/>
            <w:tcBorders>
              <w:top w:val="nil"/>
              <w:left w:val="single" w:sz="4" w:space="0" w:color="D9D9D9"/>
              <w:bottom w:val="single" w:sz="4" w:space="0" w:color="D9D9D9"/>
              <w:right w:val="single" w:sz="4" w:space="0" w:color="808080"/>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17</w:t>
            </w:r>
          </w:p>
        </w:tc>
        <w:tc>
          <w:tcPr>
            <w:tcW w:w="3560" w:type="dxa"/>
            <w:vMerge w:val="restart"/>
            <w:tcBorders>
              <w:top w:val="nil"/>
              <w:left w:val="single" w:sz="4" w:space="0" w:color="808080"/>
              <w:bottom w:val="single" w:sz="4" w:space="0" w:color="808080"/>
              <w:right w:val="single" w:sz="4" w:space="0" w:color="808080"/>
            </w:tcBorders>
            <w:shd w:val="clear" w:color="000000" w:fill="FFFFFF"/>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xml:space="preserve">GESTIÒN DE INSTRUMENTOS EN CteI </w:t>
            </w:r>
            <w:r w:rsidRPr="00F716FD">
              <w:rPr>
                <w:rFonts w:ascii="Trebuchet MS" w:eastAsia="Times New Roman" w:hAnsi="Trebuchet MS" w:cs="Times New Roman"/>
                <w:color w:val="000000"/>
                <w:sz w:val="18"/>
                <w:szCs w:val="18"/>
                <w:lang w:eastAsia="es-ES_tradnl"/>
              </w:rPr>
              <w:t>(5% de la sumatoria de los rubros con cargo a Minciencias, incluido el rubro de gastos de operación)</w:t>
            </w:r>
          </w:p>
        </w:tc>
        <w:tc>
          <w:tcPr>
            <w:tcW w:w="1980" w:type="dxa"/>
            <w:tcBorders>
              <w:top w:val="nil"/>
              <w:left w:val="nil"/>
              <w:bottom w:val="nil"/>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$95.203.250</w:t>
            </w:r>
          </w:p>
        </w:tc>
        <w:tc>
          <w:tcPr>
            <w:tcW w:w="1587"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01"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 </w:t>
            </w:r>
          </w:p>
        </w:tc>
        <w:tc>
          <w:tcPr>
            <w:tcW w:w="1792" w:type="dxa"/>
            <w:vMerge w:val="restart"/>
            <w:tcBorders>
              <w:top w:val="nil"/>
              <w:left w:val="single" w:sz="4" w:space="0" w:color="808080"/>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$95.203.250</w:t>
            </w:r>
          </w:p>
        </w:tc>
      </w:tr>
      <w:tr w:rsidR="00F716FD" w:rsidRPr="00F716FD" w:rsidTr="00F716FD">
        <w:trPr>
          <w:trHeight w:val="480"/>
        </w:trPr>
        <w:tc>
          <w:tcPr>
            <w:tcW w:w="381" w:type="dxa"/>
            <w:vMerge/>
            <w:tcBorders>
              <w:top w:val="nil"/>
              <w:left w:val="single" w:sz="4" w:space="0" w:color="D9D9D9"/>
              <w:bottom w:val="single" w:sz="4" w:space="0" w:color="D9D9D9"/>
              <w:right w:val="single" w:sz="4" w:space="0" w:color="808080"/>
            </w:tcBorders>
            <w:vAlign w:val="center"/>
            <w:hideMark/>
          </w:tcPr>
          <w:p w:rsidR="00F716FD" w:rsidRPr="00F716FD" w:rsidRDefault="00F716FD" w:rsidP="00F716FD">
            <w:pPr>
              <w:rPr>
                <w:rFonts w:ascii="Andale Mono" w:eastAsia="Times New Roman" w:hAnsi="Andale Mono" w:cs="Times New Roman"/>
                <w:color w:val="808080"/>
                <w:sz w:val="20"/>
                <w:szCs w:val="20"/>
                <w:lang w:eastAsia="es-ES_tradnl"/>
              </w:rPr>
            </w:pPr>
          </w:p>
        </w:tc>
        <w:tc>
          <w:tcPr>
            <w:tcW w:w="3560"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980" w:type="dxa"/>
            <w:tcBorders>
              <w:top w:val="nil"/>
              <w:left w:val="nil"/>
              <w:bottom w:val="single" w:sz="4" w:space="0" w:color="808080"/>
              <w:right w:val="single" w:sz="4" w:space="0" w:color="808080"/>
            </w:tcBorders>
            <w:shd w:val="clear" w:color="000000" w:fill="FFFFFF"/>
            <w:noWrap/>
            <w:vAlign w:val="center"/>
            <w:hideMark/>
          </w:tcPr>
          <w:p w:rsidR="00F716FD" w:rsidRPr="00F716FD" w:rsidRDefault="00F716FD" w:rsidP="00F716FD">
            <w:pPr>
              <w:jc w:val="center"/>
              <w:rPr>
                <w:rFonts w:ascii="Trebuchet MS" w:eastAsia="Times New Roman" w:hAnsi="Trebuchet MS" w:cs="Times New Roman"/>
                <w:color w:val="FF0000"/>
                <w:sz w:val="18"/>
                <w:szCs w:val="18"/>
                <w:lang w:eastAsia="es-ES_tradnl"/>
              </w:rPr>
            </w:pPr>
            <w:r w:rsidRPr="00F716FD">
              <w:rPr>
                <w:rFonts w:ascii="Trebuchet MS" w:eastAsia="Times New Roman" w:hAnsi="Trebuchet MS" w:cs="Times New Roman"/>
                <w:color w:val="FF0000"/>
                <w:sz w:val="18"/>
                <w:szCs w:val="18"/>
                <w:lang w:eastAsia="es-ES_tradnl"/>
              </w:rPr>
              <w:t>=B16*0,05</w:t>
            </w:r>
          </w:p>
        </w:tc>
        <w:tc>
          <w:tcPr>
            <w:tcW w:w="1587"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01"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92"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r>
      <w:tr w:rsidR="00F716FD" w:rsidRPr="00F716FD" w:rsidTr="00F716FD">
        <w:trPr>
          <w:trHeight w:val="280"/>
        </w:trPr>
        <w:tc>
          <w:tcPr>
            <w:tcW w:w="381" w:type="dxa"/>
            <w:vMerge w:val="restart"/>
            <w:tcBorders>
              <w:top w:val="nil"/>
              <w:left w:val="single" w:sz="4" w:space="0" w:color="D9D9D9"/>
              <w:bottom w:val="single" w:sz="4" w:space="0" w:color="D9D9D9"/>
              <w:right w:val="single" w:sz="4" w:space="0" w:color="808080"/>
            </w:tcBorders>
            <w:shd w:val="clear" w:color="000000" w:fill="FFFFFF"/>
            <w:noWrap/>
            <w:vAlign w:val="center"/>
            <w:hideMark/>
          </w:tcPr>
          <w:p w:rsidR="00F716FD" w:rsidRPr="00F716FD" w:rsidRDefault="00F716FD" w:rsidP="00F716FD">
            <w:pPr>
              <w:jc w:val="right"/>
              <w:rPr>
                <w:rFonts w:ascii="Andale Mono" w:eastAsia="Times New Roman" w:hAnsi="Andale Mono" w:cs="Times New Roman"/>
                <w:color w:val="808080"/>
                <w:sz w:val="20"/>
                <w:szCs w:val="20"/>
                <w:lang w:eastAsia="es-ES_tradnl"/>
              </w:rPr>
            </w:pPr>
            <w:r w:rsidRPr="00F716FD">
              <w:rPr>
                <w:rFonts w:ascii="Andale Mono" w:eastAsia="Times New Roman" w:hAnsi="Andale Mono" w:cs="Times New Roman"/>
                <w:color w:val="808080"/>
                <w:sz w:val="20"/>
                <w:szCs w:val="20"/>
                <w:lang w:eastAsia="es-ES_tradnl"/>
              </w:rPr>
              <w:t>18</w:t>
            </w:r>
          </w:p>
        </w:tc>
        <w:tc>
          <w:tcPr>
            <w:tcW w:w="3560"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0"/>
                <w:szCs w:val="20"/>
                <w:lang w:eastAsia="es-ES_tradnl"/>
              </w:rPr>
            </w:pPr>
            <w:r w:rsidRPr="00F716FD">
              <w:rPr>
                <w:rFonts w:ascii="Trebuchet MS" w:eastAsia="Times New Roman" w:hAnsi="Trebuchet MS" w:cs="Times New Roman"/>
                <w:b/>
                <w:bCs/>
                <w:color w:val="000000"/>
                <w:sz w:val="20"/>
                <w:szCs w:val="20"/>
                <w:lang w:eastAsia="es-ES_tradnl"/>
              </w:rPr>
              <w:t>VALOR TOTAL </w:t>
            </w:r>
          </w:p>
        </w:tc>
        <w:tc>
          <w:tcPr>
            <w:tcW w:w="1980" w:type="dxa"/>
            <w:tcBorders>
              <w:top w:val="nil"/>
              <w:left w:val="nil"/>
              <w:bottom w:val="nil"/>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$1.999.268.250</w:t>
            </w:r>
          </w:p>
        </w:tc>
        <w:tc>
          <w:tcPr>
            <w:tcW w:w="1587"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$15.000.000</w:t>
            </w:r>
          </w:p>
        </w:tc>
        <w:tc>
          <w:tcPr>
            <w:tcW w:w="1701"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000000"/>
                <w:sz w:val="20"/>
                <w:szCs w:val="20"/>
                <w:lang w:eastAsia="es-ES_tradnl"/>
              </w:rPr>
            </w:pPr>
            <w:r w:rsidRPr="00F716FD">
              <w:rPr>
                <w:rFonts w:ascii="Trebuchet MS" w:eastAsia="Times New Roman" w:hAnsi="Trebuchet MS" w:cs="Times New Roman"/>
                <w:color w:val="000000"/>
                <w:sz w:val="20"/>
                <w:szCs w:val="20"/>
                <w:lang w:eastAsia="es-ES_tradnl"/>
              </w:rPr>
              <w:t>$400.000.000</w:t>
            </w:r>
          </w:p>
        </w:tc>
        <w:tc>
          <w:tcPr>
            <w:tcW w:w="1792" w:type="dxa"/>
            <w:vMerge w:val="restart"/>
            <w:tcBorders>
              <w:top w:val="nil"/>
              <w:left w:val="single" w:sz="4" w:space="0" w:color="808080"/>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b/>
                <w:bCs/>
                <w:color w:val="000000"/>
                <w:sz w:val="20"/>
                <w:szCs w:val="20"/>
                <w:lang w:eastAsia="es-ES_tradnl"/>
              </w:rPr>
            </w:pPr>
            <w:r w:rsidRPr="00F716FD">
              <w:rPr>
                <w:rFonts w:ascii="Trebuchet MS" w:eastAsia="Times New Roman" w:hAnsi="Trebuchet MS" w:cs="Times New Roman"/>
                <w:b/>
                <w:bCs/>
                <w:color w:val="000000"/>
                <w:sz w:val="20"/>
                <w:szCs w:val="20"/>
                <w:lang w:eastAsia="es-ES_tradnl"/>
              </w:rPr>
              <w:t>$2.414.268.250</w:t>
            </w:r>
          </w:p>
        </w:tc>
      </w:tr>
      <w:tr w:rsidR="00F716FD" w:rsidRPr="00F716FD" w:rsidTr="00F716FD">
        <w:trPr>
          <w:trHeight w:val="280"/>
        </w:trPr>
        <w:tc>
          <w:tcPr>
            <w:tcW w:w="381" w:type="dxa"/>
            <w:vMerge/>
            <w:tcBorders>
              <w:top w:val="nil"/>
              <w:left w:val="single" w:sz="4" w:space="0" w:color="D9D9D9"/>
              <w:bottom w:val="single" w:sz="4" w:space="0" w:color="D9D9D9"/>
              <w:right w:val="single" w:sz="4" w:space="0" w:color="808080"/>
            </w:tcBorders>
            <w:vAlign w:val="center"/>
            <w:hideMark/>
          </w:tcPr>
          <w:p w:rsidR="00F716FD" w:rsidRPr="00F716FD" w:rsidRDefault="00F716FD" w:rsidP="00F716FD">
            <w:pPr>
              <w:rPr>
                <w:rFonts w:ascii="Andale Mono" w:eastAsia="Times New Roman" w:hAnsi="Andale Mono" w:cs="Times New Roman"/>
                <w:color w:val="808080"/>
                <w:sz w:val="20"/>
                <w:szCs w:val="20"/>
                <w:lang w:eastAsia="es-ES_tradnl"/>
              </w:rPr>
            </w:pPr>
          </w:p>
        </w:tc>
        <w:tc>
          <w:tcPr>
            <w:tcW w:w="3560"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b/>
                <w:bCs/>
                <w:color w:val="000000"/>
                <w:sz w:val="20"/>
                <w:szCs w:val="20"/>
                <w:lang w:eastAsia="es-ES_tradnl"/>
              </w:rPr>
            </w:pPr>
          </w:p>
        </w:tc>
        <w:tc>
          <w:tcPr>
            <w:tcW w:w="1980" w:type="dxa"/>
            <w:tcBorders>
              <w:top w:val="nil"/>
              <w:left w:val="nil"/>
              <w:bottom w:val="single" w:sz="4" w:space="0" w:color="808080"/>
              <w:right w:val="single" w:sz="4" w:space="0" w:color="808080"/>
            </w:tcBorders>
            <w:shd w:val="clear" w:color="000000" w:fill="D9D9D9"/>
            <w:noWrap/>
            <w:vAlign w:val="center"/>
            <w:hideMark/>
          </w:tcPr>
          <w:p w:rsidR="00F716FD" w:rsidRPr="00F716FD" w:rsidRDefault="00F716FD" w:rsidP="00F716FD">
            <w:pPr>
              <w:jc w:val="center"/>
              <w:rPr>
                <w:rFonts w:ascii="Trebuchet MS" w:eastAsia="Times New Roman" w:hAnsi="Trebuchet MS" w:cs="Times New Roman"/>
                <w:color w:val="FF0000"/>
                <w:sz w:val="18"/>
                <w:szCs w:val="18"/>
                <w:lang w:eastAsia="es-ES_tradnl"/>
              </w:rPr>
            </w:pPr>
            <w:r w:rsidRPr="00F716FD">
              <w:rPr>
                <w:rFonts w:ascii="Trebuchet MS" w:eastAsia="Times New Roman" w:hAnsi="Trebuchet MS" w:cs="Times New Roman"/>
                <w:color w:val="FF0000"/>
                <w:sz w:val="18"/>
                <w:szCs w:val="18"/>
                <w:lang w:eastAsia="es-ES_tradnl"/>
              </w:rPr>
              <w:t>=SUMA(B16:B17)</w:t>
            </w:r>
          </w:p>
        </w:tc>
        <w:tc>
          <w:tcPr>
            <w:tcW w:w="1587"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01"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color w:val="000000"/>
                <w:sz w:val="20"/>
                <w:szCs w:val="20"/>
                <w:lang w:eastAsia="es-ES_tradnl"/>
              </w:rPr>
            </w:pPr>
          </w:p>
        </w:tc>
        <w:tc>
          <w:tcPr>
            <w:tcW w:w="1792" w:type="dxa"/>
            <w:vMerge/>
            <w:tcBorders>
              <w:top w:val="nil"/>
              <w:left w:val="single" w:sz="4" w:space="0" w:color="808080"/>
              <w:bottom w:val="single" w:sz="4" w:space="0" w:color="808080"/>
              <w:right w:val="single" w:sz="4" w:space="0" w:color="808080"/>
            </w:tcBorders>
            <w:vAlign w:val="center"/>
            <w:hideMark/>
          </w:tcPr>
          <w:p w:rsidR="00F716FD" w:rsidRPr="00F716FD" w:rsidRDefault="00F716FD" w:rsidP="00F716FD">
            <w:pPr>
              <w:rPr>
                <w:rFonts w:ascii="Trebuchet MS" w:eastAsia="Times New Roman" w:hAnsi="Trebuchet MS" w:cs="Times New Roman"/>
                <w:b/>
                <w:bCs/>
                <w:color w:val="000000"/>
                <w:sz w:val="20"/>
                <w:szCs w:val="20"/>
                <w:lang w:eastAsia="es-ES_tradnl"/>
              </w:rPr>
            </w:pPr>
          </w:p>
        </w:tc>
      </w:tr>
    </w:tbl>
    <w:p w:rsidR="001F6344" w:rsidRDefault="001F6344" w:rsidP="00950FDD"/>
    <w:p w:rsidR="00950FDD" w:rsidRDefault="00950FDD" w:rsidP="00950FDD">
      <w:pPr>
        <w:spacing w:line="276" w:lineRule="auto"/>
        <w:jc w:val="both"/>
        <w:rPr>
          <w:b/>
          <w:bCs/>
        </w:rPr>
      </w:pPr>
    </w:p>
    <w:p w:rsidR="00950FDD" w:rsidRDefault="00950FDD" w:rsidP="00950FDD">
      <w:pPr>
        <w:spacing w:line="276" w:lineRule="auto"/>
        <w:jc w:val="both"/>
        <w:rPr>
          <w:b/>
          <w:bCs/>
        </w:rPr>
      </w:pPr>
      <w:r w:rsidRPr="00950FDD">
        <w:rPr>
          <w:b/>
          <w:bCs/>
        </w:rPr>
        <w:t>RUBROS FINANCIABLES</w:t>
      </w:r>
      <w:r>
        <w:rPr>
          <w:b/>
          <w:bCs/>
        </w:rPr>
        <w:t>:</w:t>
      </w:r>
    </w:p>
    <w:p w:rsidR="00950FDD" w:rsidRDefault="00950FDD" w:rsidP="00950FDD">
      <w:pPr>
        <w:rPr>
          <w:b/>
          <w:bCs/>
        </w:rPr>
      </w:pPr>
    </w:p>
    <w:p w:rsidR="00950FDD" w:rsidRPr="00950FDD" w:rsidRDefault="00950FDD" w:rsidP="00950FDD">
      <w:r w:rsidRPr="00950FDD">
        <w:t>1. Equipos.</w:t>
      </w:r>
    </w:p>
    <w:p w:rsidR="00950FDD" w:rsidRPr="00950FDD" w:rsidRDefault="00950FDD" w:rsidP="00950FDD">
      <w:r w:rsidRPr="00950FDD">
        <w:t>2. Materiales e insumos.</w:t>
      </w:r>
    </w:p>
    <w:p w:rsidR="00950FDD" w:rsidRPr="00950FDD" w:rsidRDefault="00950FDD" w:rsidP="00950FDD">
      <w:r w:rsidRPr="00950FDD">
        <w:t>3. Bibliografía especializada.</w:t>
      </w:r>
    </w:p>
    <w:p w:rsidR="00950FDD" w:rsidRPr="00950FDD" w:rsidRDefault="00950FDD" w:rsidP="00950FDD">
      <w:r w:rsidRPr="00950FDD">
        <w:t>4. Servicios técnicos.</w:t>
      </w:r>
    </w:p>
    <w:p w:rsidR="00950FDD" w:rsidRPr="00950FDD" w:rsidRDefault="00950FDD" w:rsidP="00950FDD">
      <w:r w:rsidRPr="00950FDD">
        <w:t>5. Adecuación de infraestructura (máximo 10% del monto solicitado).</w:t>
      </w:r>
    </w:p>
    <w:p w:rsidR="00950FDD" w:rsidRPr="00950FDD" w:rsidRDefault="00950FDD" w:rsidP="00950FDD">
      <w:r w:rsidRPr="00950FDD">
        <w:t>6. Software especializado.</w:t>
      </w:r>
    </w:p>
    <w:p w:rsidR="00950FDD" w:rsidRPr="00950FDD" w:rsidRDefault="00950FDD" w:rsidP="00950FDD">
      <w:r w:rsidRPr="00950FDD">
        <w:t>7. Salidas de campo.</w:t>
      </w:r>
    </w:p>
    <w:p w:rsidR="00950FDD" w:rsidRPr="00950FDD" w:rsidRDefault="00950FDD" w:rsidP="00950FDD">
      <w:r w:rsidRPr="00950FDD">
        <w:t>8. Viajes.</w:t>
      </w:r>
    </w:p>
    <w:p w:rsidR="00950FDD" w:rsidRPr="00950FDD" w:rsidRDefault="00950FDD" w:rsidP="00950FDD">
      <w:r w:rsidRPr="00950FDD">
        <w:t>9. Eventos.</w:t>
      </w:r>
    </w:p>
    <w:p w:rsidR="00950FDD" w:rsidRPr="00950FDD" w:rsidRDefault="00950FDD" w:rsidP="00950FDD">
      <w:r w:rsidRPr="00950FDD">
        <w:t>10. Costos de registro y certificación.</w:t>
      </w:r>
    </w:p>
    <w:p w:rsidR="00950FDD" w:rsidRPr="00950FDD" w:rsidRDefault="00950FDD" w:rsidP="00950FDD">
      <w:r w:rsidRPr="00950FDD">
        <w:t>11. Publicaciones.</w:t>
      </w:r>
    </w:p>
    <w:p w:rsidR="00950FDD" w:rsidRPr="00950FDD" w:rsidRDefault="00950FDD" w:rsidP="00950FDD">
      <w:r w:rsidRPr="00950FDD">
        <w:t>12. Personal científico.</w:t>
      </w:r>
    </w:p>
    <w:p w:rsidR="00950FDD" w:rsidRPr="00950FDD" w:rsidRDefault="00950FDD" w:rsidP="00950FDD">
      <w:r w:rsidRPr="00950FDD">
        <w:t>13. Personal de apoyo.</w:t>
      </w:r>
    </w:p>
    <w:p w:rsidR="00950FDD" w:rsidRPr="00950FDD" w:rsidRDefault="00950FDD" w:rsidP="00950FDD">
      <w:r w:rsidRPr="00950FDD">
        <w:lastRenderedPageBreak/>
        <w:t>14. Gastos de propiedad intelectual</w:t>
      </w:r>
    </w:p>
    <w:p w:rsidR="00950FDD" w:rsidRPr="00950FDD" w:rsidRDefault="00950FDD" w:rsidP="00950FDD">
      <w:r w:rsidRPr="00950FDD">
        <w:t>15. Servicios de asistencia y acompañamiento técnico/ asesoría científica y tecnológica.</w:t>
      </w:r>
    </w:p>
    <w:p w:rsidR="00950FDD" w:rsidRPr="00950FDD" w:rsidRDefault="00950FDD" w:rsidP="00950FDD">
      <w:r w:rsidRPr="00950FDD">
        <w:t>16. Gestión de instrumentos en CTeI (seguimiento y evaluación, 5%)</w:t>
      </w:r>
    </w:p>
    <w:p w:rsidR="00950FDD" w:rsidRPr="00950FDD" w:rsidRDefault="00950FDD" w:rsidP="00950FDD">
      <w:r w:rsidRPr="00950FDD">
        <w:t>17. Administración (máximo 7% del monto solicitado).</w:t>
      </w:r>
    </w:p>
    <w:p w:rsidR="00950FDD" w:rsidRDefault="00950FDD" w:rsidP="00950FDD">
      <w:pPr>
        <w:rPr>
          <w:b/>
          <w:bCs/>
        </w:rPr>
      </w:pPr>
    </w:p>
    <w:p w:rsidR="00950FDD" w:rsidRDefault="00950FDD" w:rsidP="00950FDD">
      <w:pPr>
        <w:rPr>
          <w:b/>
          <w:bCs/>
        </w:rPr>
      </w:pPr>
    </w:p>
    <w:p w:rsidR="00950FDD" w:rsidRDefault="00950FDD" w:rsidP="00950FDD">
      <w:pPr>
        <w:spacing w:line="276" w:lineRule="auto"/>
        <w:jc w:val="both"/>
        <w:rPr>
          <w:b/>
          <w:bCs/>
        </w:rPr>
      </w:pPr>
      <w:r w:rsidRPr="00950FDD">
        <w:rPr>
          <w:b/>
          <w:bCs/>
        </w:rPr>
        <w:t>RUBROS NO FINANCIABLES</w:t>
      </w:r>
      <w:r>
        <w:rPr>
          <w:b/>
          <w:bCs/>
        </w:rPr>
        <w:t>:</w:t>
      </w:r>
    </w:p>
    <w:p w:rsidR="00950FDD" w:rsidRPr="00950FDD" w:rsidRDefault="00950FDD" w:rsidP="00950FDD">
      <w:pPr>
        <w:spacing w:line="276" w:lineRule="auto"/>
        <w:jc w:val="both"/>
        <w:rPr>
          <w:b/>
          <w:bCs/>
        </w:rPr>
      </w:pPr>
    </w:p>
    <w:p w:rsidR="00950FDD" w:rsidRDefault="00950FDD" w:rsidP="00950FDD">
      <w:pPr>
        <w:spacing w:line="276" w:lineRule="auto"/>
        <w:jc w:val="both"/>
      </w:pPr>
      <w:r>
        <w:t>1. El personal que sea beneficiario actual de los Programas de "Formación de doctorados" de Minciencias podrá ser vinculado a las actividades investigativas previstas para la ejecución del proyecto, pero en ningún caso, podrá ser beneficiado al mismo tiempo con los recursos provenientes de Minciencias, asignados al rubro de personal en esta convocatoria. Igual tratamiento aplica para los doctores que participen en el proyecto y que sean presentados por las empresas para el beneficio tributario de vinculación de capital humano de alto nivel, caso en el cual la remuneración de dicho personal no podrá ser considerada como contrapartida del proyecto</w:t>
      </w:r>
    </w:p>
    <w:p w:rsidR="00950FDD" w:rsidRDefault="00950FDD" w:rsidP="00950FDD">
      <w:pPr>
        <w:spacing w:line="276" w:lineRule="auto"/>
        <w:jc w:val="both"/>
      </w:pPr>
      <w:r>
        <w:t>2. A través del rubro de personal no se financiarán los derechos académicos y de matrícula del personal.</w:t>
      </w:r>
    </w:p>
    <w:p w:rsidR="00950FDD" w:rsidRDefault="00950FDD" w:rsidP="00950FDD">
      <w:pPr>
        <w:spacing w:line="276" w:lineRule="auto"/>
        <w:jc w:val="both"/>
      </w:pPr>
      <w:r>
        <w:t>3. Construcciones, mantenimiento de equipos e infraestructura, imprevistos, seguros, adquisición de vehículos, mobiliario de oficina y membresías a sociedades científicas.</w:t>
      </w:r>
    </w:p>
    <w:p w:rsidR="00950FDD" w:rsidRDefault="00950FDD" w:rsidP="00950FDD">
      <w:pPr>
        <w:spacing w:line="276" w:lineRule="auto"/>
        <w:jc w:val="both"/>
      </w:pPr>
      <w:r>
        <w:t>4. Honorarios o bonificaciones especiales a personal de nómina de tiempo completo, de entidades públicas o privadas. No obstante, estos sí podrán ser financiados con recursos de contrapartida.</w:t>
      </w:r>
    </w:p>
    <w:p w:rsidR="00950FDD" w:rsidRDefault="00950FDD" w:rsidP="00950FDD">
      <w:pPr>
        <w:spacing w:line="276" w:lineRule="auto"/>
        <w:jc w:val="both"/>
      </w:pPr>
      <w:r>
        <w:t>5. Costos fijos de operación institucional.</w:t>
      </w:r>
    </w:p>
    <w:p w:rsidR="00950FDD" w:rsidRDefault="00950FDD" w:rsidP="00950FDD">
      <w:pPr>
        <w:spacing w:line="276" w:lineRule="auto"/>
        <w:jc w:val="both"/>
      </w:pPr>
      <w:r>
        <w:t>6. Salarios y prestaciones. El personal de planta no podrá ser financiado con cargo a recursos Minciencias del proyecto, a excepción del personal de planta de los Centros autónomos o Institutos públicos de Investigación y Desarrollo Tecnológico reconocidos por Minciencias.</w:t>
      </w:r>
    </w:p>
    <w:p w:rsidR="00950FDD" w:rsidRDefault="00950FDD" w:rsidP="00950FDD">
      <w:pPr>
        <w:spacing w:line="276" w:lineRule="auto"/>
        <w:jc w:val="both"/>
      </w:pPr>
      <w:r>
        <w:t>7. Impuestos y aranceles tales como gravamen a los movimientos financieros generados por las transacciones de los recursos de cofinanciación entregados.</w:t>
      </w:r>
    </w:p>
    <w:p w:rsidR="00950FDD" w:rsidRDefault="00950FDD" w:rsidP="00950FDD">
      <w:pPr>
        <w:spacing w:line="276" w:lineRule="auto"/>
        <w:jc w:val="both"/>
      </w:pPr>
      <w:r>
        <w:t>8. Impuesto al valor agregado (IVA) generado por la adquisición de bienes y servicios cofinanciados.</w:t>
      </w:r>
    </w:p>
    <w:p w:rsidR="00950FDD" w:rsidRDefault="00950FDD" w:rsidP="00950FDD">
      <w:pPr>
        <w:spacing w:line="276" w:lineRule="auto"/>
        <w:jc w:val="both"/>
      </w:pPr>
      <w:r>
        <w:t>9. Pago de pasivos, pago de dividendos y aumento del capital social de las empresas.</w:t>
      </w:r>
    </w:p>
    <w:p w:rsidR="00950FDD" w:rsidRDefault="00950FDD" w:rsidP="00950FDD">
      <w:pPr>
        <w:spacing w:line="276" w:lineRule="auto"/>
        <w:jc w:val="both"/>
      </w:pPr>
      <w:r>
        <w:t>10. Estudios que no estén asociados al desarrollo del proyecto.</w:t>
      </w:r>
    </w:p>
    <w:p w:rsidR="00950FDD" w:rsidRDefault="00950FDD" w:rsidP="00950FDD">
      <w:pPr>
        <w:spacing w:line="276" w:lineRule="auto"/>
        <w:jc w:val="both"/>
      </w:pPr>
      <w:r>
        <w:t>11. Adquisición de materia prima, maquinaria y equipo no determinantes para el proyecto.</w:t>
      </w:r>
    </w:p>
    <w:p w:rsidR="00950FDD" w:rsidRDefault="00950FDD" w:rsidP="00950FDD">
      <w:pPr>
        <w:spacing w:line="276" w:lineRule="auto"/>
        <w:jc w:val="both"/>
      </w:pPr>
      <w:r>
        <w:t>12. Gastos de legalización del contrato.</w:t>
      </w:r>
    </w:p>
    <w:p w:rsidR="00950FDD" w:rsidRDefault="00950FDD" w:rsidP="00950FDD">
      <w:pPr>
        <w:spacing w:line="276" w:lineRule="auto"/>
        <w:jc w:val="both"/>
      </w:pPr>
      <w:r>
        <w:t>13. Los demás que no estén especificados como rubros financiables en el documento de la</w:t>
      </w:r>
    </w:p>
    <w:p w:rsidR="00CF2CF1" w:rsidRDefault="00950FDD" w:rsidP="00950FDD">
      <w:pPr>
        <w:spacing w:line="276" w:lineRule="auto"/>
        <w:jc w:val="both"/>
      </w:pPr>
      <w:r>
        <w:t xml:space="preserve"> Invitación.</w:t>
      </w:r>
    </w:p>
    <w:sectPr w:rsidR="00CF2CF1" w:rsidSect="00950F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dale Mono">
    <w:panose1 w:val="020B0509000000000004"/>
    <w:charset w:val="00"/>
    <w:family w:val="modern"/>
    <w:pitch w:val="fixed"/>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DD"/>
    <w:rsid w:val="001F6344"/>
    <w:rsid w:val="00794550"/>
    <w:rsid w:val="00950FDD"/>
    <w:rsid w:val="00CF2CF1"/>
    <w:rsid w:val="00D62335"/>
    <w:rsid w:val="00F71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23AB"/>
  <w15:chartTrackingRefBased/>
  <w15:docId w15:val="{70891B6D-4DB2-3F48-A514-D76B188F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0338">
      <w:bodyDiv w:val="1"/>
      <w:marLeft w:val="0"/>
      <w:marRight w:val="0"/>
      <w:marTop w:val="0"/>
      <w:marBottom w:val="0"/>
      <w:divBdr>
        <w:top w:val="none" w:sz="0" w:space="0" w:color="auto"/>
        <w:left w:val="none" w:sz="0" w:space="0" w:color="auto"/>
        <w:bottom w:val="none" w:sz="0" w:space="0" w:color="auto"/>
        <w:right w:val="none" w:sz="0" w:space="0" w:color="auto"/>
      </w:divBdr>
    </w:div>
    <w:div w:id="1301610950">
      <w:bodyDiv w:val="1"/>
      <w:marLeft w:val="0"/>
      <w:marRight w:val="0"/>
      <w:marTop w:val="0"/>
      <w:marBottom w:val="0"/>
      <w:divBdr>
        <w:top w:val="none" w:sz="0" w:space="0" w:color="auto"/>
        <w:left w:val="none" w:sz="0" w:space="0" w:color="auto"/>
        <w:bottom w:val="none" w:sz="0" w:space="0" w:color="auto"/>
        <w:right w:val="none" w:sz="0" w:space="0" w:color="auto"/>
      </w:divBdr>
    </w:div>
    <w:div w:id="17649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4AF6-8D23-F141-82F3-C6DE8B36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654</Words>
  <Characters>3603</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GIRALDO GUZMAN</dc:creator>
  <cp:keywords/>
  <dc:description/>
  <cp:lastModifiedBy>FERNANDA GIRALDO GUZMAN</cp:lastModifiedBy>
  <cp:revision>3</cp:revision>
  <dcterms:created xsi:type="dcterms:W3CDTF">2020-03-26T16:20:00Z</dcterms:created>
  <dcterms:modified xsi:type="dcterms:W3CDTF">2020-03-26T21:25:00Z</dcterms:modified>
</cp:coreProperties>
</file>