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EB3AF84" w14:textId="77777777" w:rsidR="005629A1" w:rsidRPr="005D10C1" w:rsidRDefault="005629A1">
      <w:pPr>
        <w:jc w:val="center"/>
        <w:rPr>
          <w:rFonts w:ascii="Candara" w:hAnsi="Candara"/>
          <w:b/>
        </w:rPr>
      </w:pPr>
      <w:bookmarkStart w:id="0" w:name="_GoBack"/>
      <w:bookmarkEnd w:id="0"/>
    </w:p>
    <w:p w14:paraId="5E614367" w14:textId="77777777" w:rsidR="005629A1" w:rsidRPr="005D10C1" w:rsidRDefault="005629A1">
      <w:pPr>
        <w:jc w:val="center"/>
        <w:rPr>
          <w:rFonts w:ascii="Candara" w:hAnsi="Candara"/>
          <w:b/>
        </w:rPr>
      </w:pPr>
    </w:p>
    <w:p w14:paraId="5463A833" w14:textId="77777777" w:rsidR="00C815FD" w:rsidRPr="005D10C1" w:rsidRDefault="008B4C7D">
      <w:pPr>
        <w:jc w:val="center"/>
        <w:rPr>
          <w:rFonts w:ascii="Candara" w:hAnsi="Candara"/>
          <w:b/>
        </w:rPr>
      </w:pPr>
      <w:r w:rsidRPr="005D10C1">
        <w:rPr>
          <w:rFonts w:ascii="Candara" w:hAnsi="Candara"/>
          <w:b/>
        </w:rPr>
        <w:t>ALTERNATIVAS JURÍDICAS MEDIANTE LA CUALES SE HABILITE EXPRESAMENTE LA PARTICIPACIÓN DE SERVIDORES PÚBLICOS EN LA CREACIÓN DE EMPRESAS COMO RESULTADO DE LA ACTIVIDAD ACADÉMICA, CON PARTICIPACIÓN DE INSTITUCIONES PÚBLICAS DE EDUCACIÓN SUPERIOR</w:t>
      </w:r>
    </w:p>
    <w:p w14:paraId="0E3887F1" w14:textId="77777777" w:rsidR="00C815FD" w:rsidRPr="005D10C1" w:rsidRDefault="00C815FD">
      <w:pPr>
        <w:rPr>
          <w:rFonts w:ascii="Candara" w:eastAsia="Times New Roman" w:hAnsi="Candara"/>
          <w:bCs/>
          <w:i/>
          <w:spacing w:val="5"/>
          <w:kern w:val="28"/>
        </w:rPr>
      </w:pPr>
    </w:p>
    <w:p w14:paraId="29C3F31B" w14:textId="77777777" w:rsidR="00BC3FDC" w:rsidRPr="005D10C1" w:rsidRDefault="00BC3FDC">
      <w:pPr>
        <w:rPr>
          <w:rFonts w:ascii="Candara" w:eastAsia="Times New Roman" w:hAnsi="Candara"/>
          <w:bCs/>
          <w:i/>
          <w:spacing w:val="5"/>
          <w:kern w:val="28"/>
        </w:rPr>
      </w:pPr>
    </w:p>
    <w:p w14:paraId="5D522262" w14:textId="77777777" w:rsidR="00BC3FDC" w:rsidRPr="005D10C1" w:rsidRDefault="00BC3FDC">
      <w:pPr>
        <w:rPr>
          <w:rFonts w:ascii="Candara" w:eastAsia="Times New Roman" w:hAnsi="Candara"/>
          <w:bCs/>
          <w:i/>
          <w:spacing w:val="5"/>
          <w:kern w:val="28"/>
        </w:rPr>
      </w:pPr>
    </w:p>
    <w:p w14:paraId="32FDDFB2" w14:textId="77777777" w:rsidR="00BC3FDC" w:rsidRPr="005D10C1" w:rsidRDefault="00BC3FDC">
      <w:pPr>
        <w:rPr>
          <w:rFonts w:ascii="Candara" w:eastAsia="Times New Roman" w:hAnsi="Candara"/>
          <w:bCs/>
          <w:i/>
          <w:spacing w:val="5"/>
          <w:kern w:val="28"/>
        </w:rPr>
      </w:pPr>
    </w:p>
    <w:p w14:paraId="507B7E30" w14:textId="77777777" w:rsidR="00C815FD" w:rsidRPr="005D10C1" w:rsidRDefault="00C815FD">
      <w:pPr>
        <w:rPr>
          <w:rFonts w:ascii="Candara" w:eastAsia="Times New Roman" w:hAnsi="Candara"/>
          <w:bCs/>
          <w:i/>
          <w:spacing w:val="5"/>
          <w:kern w:val="28"/>
        </w:rPr>
      </w:pPr>
    </w:p>
    <w:p w14:paraId="2CA4DF11" w14:textId="77777777" w:rsidR="00C815FD" w:rsidRPr="005D10C1" w:rsidRDefault="00355053">
      <w:pPr>
        <w:jc w:val="center"/>
        <w:rPr>
          <w:rFonts w:ascii="Candara" w:hAnsi="Candara"/>
          <w:b/>
          <w:sz w:val="36"/>
        </w:rPr>
      </w:pPr>
      <w:r w:rsidRPr="005D10C1">
        <w:rPr>
          <w:rFonts w:ascii="Candara" w:hAnsi="Candara"/>
          <w:b/>
          <w:sz w:val="36"/>
        </w:rPr>
        <w:t xml:space="preserve">INFORME </w:t>
      </w:r>
      <w:r w:rsidR="00773810" w:rsidRPr="005D10C1">
        <w:rPr>
          <w:rFonts w:ascii="Candara" w:hAnsi="Candara"/>
          <w:b/>
          <w:sz w:val="36"/>
        </w:rPr>
        <w:t>FINAL:</w:t>
      </w:r>
      <w:r w:rsidRPr="005D10C1">
        <w:rPr>
          <w:rFonts w:ascii="Candara" w:hAnsi="Candara"/>
          <w:b/>
          <w:sz w:val="36"/>
        </w:rPr>
        <w:t xml:space="preserve"> </w:t>
      </w:r>
      <w:r w:rsidR="00972D0E" w:rsidRPr="005D10C1">
        <w:rPr>
          <w:rFonts w:ascii="Candara" w:hAnsi="Candara"/>
          <w:b/>
          <w:sz w:val="36"/>
        </w:rPr>
        <w:t>Revisión</w:t>
      </w:r>
      <w:r w:rsidR="005629A1" w:rsidRPr="005D10C1">
        <w:rPr>
          <w:rFonts w:ascii="Candara" w:hAnsi="Candara"/>
          <w:b/>
          <w:sz w:val="36"/>
        </w:rPr>
        <w:t xml:space="preserve"> conceptual internacional y nacional</w:t>
      </w:r>
    </w:p>
    <w:p w14:paraId="4C0E4AAB" w14:textId="77777777" w:rsidR="00C815FD" w:rsidRPr="005D10C1" w:rsidRDefault="00C815FD">
      <w:pPr>
        <w:jc w:val="center"/>
        <w:rPr>
          <w:rFonts w:ascii="Candara" w:hAnsi="Candara"/>
        </w:rPr>
      </w:pPr>
    </w:p>
    <w:p w14:paraId="5B536480" w14:textId="77777777" w:rsidR="00BC3FDC" w:rsidRPr="005D10C1" w:rsidRDefault="00BC3FDC">
      <w:pPr>
        <w:jc w:val="center"/>
        <w:rPr>
          <w:rFonts w:ascii="Candara" w:hAnsi="Candara"/>
        </w:rPr>
      </w:pPr>
    </w:p>
    <w:p w14:paraId="29436F4C" w14:textId="77777777" w:rsidR="00972D0E" w:rsidRPr="005D10C1" w:rsidRDefault="00972D0E">
      <w:pPr>
        <w:jc w:val="center"/>
        <w:rPr>
          <w:rFonts w:ascii="Candara" w:hAnsi="Candara"/>
        </w:rPr>
      </w:pPr>
    </w:p>
    <w:p w14:paraId="1B11868F" w14:textId="77777777" w:rsidR="00972D0E" w:rsidRPr="005D10C1" w:rsidRDefault="00972D0E">
      <w:pPr>
        <w:jc w:val="center"/>
        <w:rPr>
          <w:rFonts w:ascii="Candara" w:hAnsi="Candara"/>
        </w:rPr>
      </w:pPr>
      <w:r w:rsidRPr="005D10C1">
        <w:rPr>
          <w:rFonts w:ascii="Candara" w:hAnsi="Candara"/>
        </w:rPr>
        <w:t>Lideran:</w:t>
      </w:r>
    </w:p>
    <w:p w14:paraId="0A63EE86" w14:textId="77777777" w:rsidR="00972D0E" w:rsidRPr="005D10C1" w:rsidRDefault="00972D0E">
      <w:pPr>
        <w:jc w:val="center"/>
        <w:rPr>
          <w:rFonts w:ascii="Candara" w:hAnsi="Candara"/>
        </w:rPr>
      </w:pPr>
    </w:p>
    <w:p w14:paraId="36C2449A" w14:textId="77777777" w:rsidR="00972D0E" w:rsidRPr="005D10C1" w:rsidRDefault="00972D0E" w:rsidP="00972D0E">
      <w:pPr>
        <w:autoSpaceDE w:val="0"/>
        <w:autoSpaceDN w:val="0"/>
        <w:adjustRightInd w:val="0"/>
        <w:spacing w:line="240" w:lineRule="auto"/>
        <w:jc w:val="left"/>
        <w:rPr>
          <w:rFonts w:ascii="Candara" w:hAnsi="Candara" w:cs="Candara"/>
          <w:color w:val="000000"/>
        </w:rPr>
      </w:pPr>
    </w:p>
    <w:p w14:paraId="55CE8B14" w14:textId="77777777" w:rsidR="00972D0E" w:rsidRPr="005D10C1" w:rsidRDefault="00972D0E" w:rsidP="00972D0E">
      <w:pPr>
        <w:autoSpaceDE w:val="0"/>
        <w:autoSpaceDN w:val="0"/>
        <w:adjustRightInd w:val="0"/>
        <w:spacing w:line="240" w:lineRule="auto"/>
        <w:jc w:val="left"/>
        <w:rPr>
          <w:rFonts w:ascii="Candara" w:hAnsi="Candara" w:cs="Candara"/>
          <w:color w:val="000000"/>
        </w:rPr>
      </w:pPr>
    </w:p>
    <w:p w14:paraId="6FBA74E0" w14:textId="77777777" w:rsidR="00972D0E" w:rsidRPr="005D10C1" w:rsidRDefault="00972D0E" w:rsidP="00972D0E">
      <w:pPr>
        <w:autoSpaceDE w:val="0"/>
        <w:autoSpaceDN w:val="0"/>
        <w:adjustRightInd w:val="0"/>
        <w:spacing w:line="240" w:lineRule="auto"/>
        <w:jc w:val="center"/>
        <w:rPr>
          <w:rFonts w:ascii="Candara" w:hAnsi="Candara" w:cs="Candara"/>
          <w:color w:val="000000"/>
          <w:sz w:val="23"/>
          <w:szCs w:val="23"/>
        </w:rPr>
      </w:pPr>
      <w:r w:rsidRPr="005D10C1">
        <w:rPr>
          <w:rFonts w:ascii="Candara" w:hAnsi="Candara" w:cs="Candara"/>
          <w:color w:val="000000"/>
          <w:sz w:val="23"/>
          <w:szCs w:val="23"/>
        </w:rPr>
        <w:t>DEPARTAMENTO ADMINISTRATIVO DE CIENCIA, TECNOLOGÍA E INNOVACIÓN</w:t>
      </w:r>
    </w:p>
    <w:p w14:paraId="5F22A3D1" w14:textId="77777777" w:rsidR="00972D0E" w:rsidRPr="005D10C1" w:rsidRDefault="00972D0E" w:rsidP="00972D0E">
      <w:pPr>
        <w:autoSpaceDE w:val="0"/>
        <w:autoSpaceDN w:val="0"/>
        <w:adjustRightInd w:val="0"/>
        <w:spacing w:line="240" w:lineRule="auto"/>
        <w:jc w:val="center"/>
        <w:rPr>
          <w:rFonts w:ascii="Candara" w:hAnsi="Candara" w:cs="Candara"/>
          <w:color w:val="000000"/>
          <w:sz w:val="23"/>
          <w:szCs w:val="23"/>
        </w:rPr>
      </w:pPr>
      <w:r w:rsidRPr="005D10C1">
        <w:rPr>
          <w:rFonts w:ascii="Candara" w:hAnsi="Candara" w:cs="Candara"/>
          <w:color w:val="000000"/>
          <w:sz w:val="23"/>
          <w:szCs w:val="23"/>
        </w:rPr>
        <w:t>COLCIENCIAS</w:t>
      </w:r>
    </w:p>
    <w:p w14:paraId="4EF37F3D" w14:textId="77777777" w:rsidR="00972D0E" w:rsidRPr="005D10C1" w:rsidRDefault="00972D0E" w:rsidP="00972D0E">
      <w:pPr>
        <w:autoSpaceDE w:val="0"/>
        <w:autoSpaceDN w:val="0"/>
        <w:adjustRightInd w:val="0"/>
        <w:spacing w:line="240" w:lineRule="auto"/>
        <w:jc w:val="center"/>
        <w:rPr>
          <w:rFonts w:ascii="Candara" w:hAnsi="Candara" w:cs="Candara"/>
          <w:color w:val="000000"/>
          <w:sz w:val="23"/>
          <w:szCs w:val="23"/>
        </w:rPr>
      </w:pPr>
    </w:p>
    <w:p w14:paraId="6E6519BB" w14:textId="77777777" w:rsidR="00972D0E" w:rsidRPr="005D10C1" w:rsidRDefault="00972D0E" w:rsidP="00972D0E">
      <w:pPr>
        <w:autoSpaceDE w:val="0"/>
        <w:autoSpaceDN w:val="0"/>
        <w:adjustRightInd w:val="0"/>
        <w:spacing w:line="240" w:lineRule="auto"/>
        <w:jc w:val="center"/>
        <w:rPr>
          <w:rFonts w:ascii="Candara" w:hAnsi="Candara" w:cs="Candara"/>
          <w:color w:val="000000"/>
          <w:sz w:val="23"/>
          <w:szCs w:val="23"/>
        </w:rPr>
      </w:pPr>
    </w:p>
    <w:p w14:paraId="3798FB38" w14:textId="77777777" w:rsidR="00972D0E" w:rsidRPr="005D10C1" w:rsidRDefault="00972D0E" w:rsidP="00972D0E">
      <w:pPr>
        <w:autoSpaceDE w:val="0"/>
        <w:autoSpaceDN w:val="0"/>
        <w:adjustRightInd w:val="0"/>
        <w:spacing w:line="240" w:lineRule="auto"/>
        <w:jc w:val="center"/>
        <w:rPr>
          <w:rFonts w:ascii="Candara" w:hAnsi="Candara" w:cs="Candara"/>
          <w:color w:val="000000"/>
          <w:sz w:val="23"/>
          <w:szCs w:val="23"/>
        </w:rPr>
      </w:pPr>
    </w:p>
    <w:p w14:paraId="02EA568F" w14:textId="77777777" w:rsidR="00972D0E" w:rsidRPr="005D10C1" w:rsidRDefault="00972D0E" w:rsidP="00972D0E">
      <w:pPr>
        <w:autoSpaceDE w:val="0"/>
        <w:autoSpaceDN w:val="0"/>
        <w:adjustRightInd w:val="0"/>
        <w:spacing w:line="240" w:lineRule="auto"/>
        <w:jc w:val="center"/>
        <w:rPr>
          <w:rFonts w:ascii="Candara" w:hAnsi="Candara" w:cs="Candara"/>
          <w:color w:val="000000"/>
          <w:sz w:val="23"/>
          <w:szCs w:val="23"/>
        </w:rPr>
      </w:pPr>
      <w:r w:rsidRPr="005D10C1">
        <w:rPr>
          <w:rFonts w:ascii="Candara" w:hAnsi="Candara" w:cs="Candara"/>
          <w:color w:val="000000"/>
          <w:sz w:val="23"/>
          <w:szCs w:val="23"/>
        </w:rPr>
        <w:t>UNIVERSIDAD DE ANTIOQUIA</w:t>
      </w:r>
    </w:p>
    <w:p w14:paraId="73075CCD" w14:textId="77777777" w:rsidR="00972D0E" w:rsidRPr="005D10C1" w:rsidRDefault="00972D0E" w:rsidP="00972D0E">
      <w:pPr>
        <w:autoSpaceDE w:val="0"/>
        <w:autoSpaceDN w:val="0"/>
        <w:adjustRightInd w:val="0"/>
        <w:spacing w:line="240" w:lineRule="auto"/>
        <w:jc w:val="center"/>
        <w:rPr>
          <w:rFonts w:ascii="Candara" w:hAnsi="Candara" w:cs="Candara"/>
          <w:color w:val="000000"/>
          <w:sz w:val="23"/>
          <w:szCs w:val="23"/>
        </w:rPr>
      </w:pPr>
    </w:p>
    <w:p w14:paraId="7C800ECB" w14:textId="77777777" w:rsidR="00972D0E" w:rsidRPr="005D10C1" w:rsidRDefault="00972D0E" w:rsidP="00972D0E">
      <w:pPr>
        <w:autoSpaceDE w:val="0"/>
        <w:autoSpaceDN w:val="0"/>
        <w:adjustRightInd w:val="0"/>
        <w:spacing w:line="240" w:lineRule="auto"/>
        <w:jc w:val="center"/>
        <w:rPr>
          <w:rFonts w:ascii="Candara" w:hAnsi="Candara" w:cs="Candara"/>
          <w:color w:val="000000"/>
          <w:sz w:val="23"/>
          <w:szCs w:val="23"/>
        </w:rPr>
      </w:pPr>
    </w:p>
    <w:p w14:paraId="57C48F49" w14:textId="77777777" w:rsidR="00972D0E" w:rsidRPr="005D10C1" w:rsidRDefault="00972D0E" w:rsidP="00972D0E">
      <w:pPr>
        <w:autoSpaceDE w:val="0"/>
        <w:autoSpaceDN w:val="0"/>
        <w:adjustRightInd w:val="0"/>
        <w:spacing w:line="240" w:lineRule="auto"/>
        <w:jc w:val="center"/>
        <w:rPr>
          <w:rFonts w:ascii="Candara" w:hAnsi="Candara" w:cs="Candara"/>
          <w:color w:val="000000"/>
          <w:sz w:val="23"/>
          <w:szCs w:val="23"/>
        </w:rPr>
      </w:pPr>
    </w:p>
    <w:p w14:paraId="2AB9C201" w14:textId="77777777" w:rsidR="00972D0E" w:rsidRPr="005D10C1" w:rsidRDefault="00972D0E" w:rsidP="00972D0E">
      <w:pPr>
        <w:jc w:val="center"/>
        <w:rPr>
          <w:rFonts w:ascii="Candara" w:hAnsi="Candara"/>
        </w:rPr>
      </w:pPr>
      <w:r w:rsidRPr="005D10C1">
        <w:rPr>
          <w:rFonts w:ascii="Candara" w:hAnsi="Candara" w:cs="Candara"/>
          <w:color w:val="000000"/>
          <w:sz w:val="23"/>
          <w:szCs w:val="23"/>
        </w:rPr>
        <w:t>UNIVERSIDAD NACIONAL DE COLOMBIA, SEDE MEDELLÍN</w:t>
      </w:r>
    </w:p>
    <w:p w14:paraId="33547C14" w14:textId="77777777" w:rsidR="00BC3FDC" w:rsidRPr="005D10C1" w:rsidRDefault="00BC3FDC">
      <w:pPr>
        <w:jc w:val="center"/>
        <w:rPr>
          <w:rFonts w:ascii="Candara" w:hAnsi="Candara"/>
        </w:rPr>
      </w:pPr>
    </w:p>
    <w:p w14:paraId="4B28CB54" w14:textId="77777777" w:rsidR="00BC3FDC" w:rsidRPr="005D10C1" w:rsidRDefault="00BC3FDC">
      <w:pPr>
        <w:jc w:val="center"/>
        <w:rPr>
          <w:rFonts w:ascii="Candara" w:hAnsi="Candara"/>
        </w:rPr>
      </w:pPr>
    </w:p>
    <w:p w14:paraId="770D3AF7" w14:textId="77777777" w:rsidR="00C815FD" w:rsidRPr="005D10C1" w:rsidRDefault="00C815FD">
      <w:pPr>
        <w:spacing w:line="360" w:lineRule="auto"/>
        <w:jc w:val="center"/>
        <w:rPr>
          <w:rFonts w:ascii="Candara" w:hAnsi="Candara"/>
        </w:rPr>
      </w:pPr>
    </w:p>
    <w:p w14:paraId="519C13AF" w14:textId="77777777" w:rsidR="00C815FD" w:rsidRPr="005D10C1" w:rsidRDefault="00C815FD">
      <w:pPr>
        <w:spacing w:line="360" w:lineRule="auto"/>
        <w:jc w:val="center"/>
        <w:rPr>
          <w:rFonts w:ascii="Candara" w:hAnsi="Candara"/>
        </w:rPr>
      </w:pPr>
    </w:p>
    <w:p w14:paraId="6BAC0773" w14:textId="77777777" w:rsidR="006A76C6" w:rsidRPr="005D10C1" w:rsidRDefault="006A76C6">
      <w:pPr>
        <w:rPr>
          <w:rFonts w:ascii="Candara" w:hAnsi="Candara"/>
        </w:rPr>
      </w:pPr>
      <w:r w:rsidRPr="005D10C1">
        <w:rPr>
          <w:rFonts w:ascii="Candara" w:hAnsi="Candara"/>
        </w:rPr>
        <w:br w:type="page"/>
      </w:r>
    </w:p>
    <w:sdt>
      <w:sdtPr>
        <w:rPr>
          <w:rFonts w:ascii="Candara" w:hAnsi="Candara"/>
        </w:rPr>
        <w:id w:val="-194230540"/>
        <w:docPartObj>
          <w:docPartGallery w:val="Table of Contents"/>
          <w:docPartUnique/>
        </w:docPartObj>
      </w:sdtPr>
      <w:sdtEndPr>
        <w:rPr>
          <w:b/>
          <w:bCs/>
        </w:rPr>
      </w:sdtEndPr>
      <w:sdtContent>
        <w:p w14:paraId="41A6AFAD" w14:textId="77777777" w:rsidR="00C815FD" w:rsidRPr="005D10C1" w:rsidRDefault="006A76C6">
          <w:pPr>
            <w:pStyle w:val="Sinespaciado"/>
            <w:rPr>
              <w:rFonts w:ascii="Candara" w:hAnsi="Candara"/>
              <w:b/>
            </w:rPr>
          </w:pPr>
          <w:r w:rsidRPr="005D10C1">
            <w:rPr>
              <w:rFonts w:ascii="Candara" w:hAnsi="Candara"/>
              <w:b/>
            </w:rPr>
            <w:t>Contenido</w:t>
          </w:r>
        </w:p>
        <w:p w14:paraId="32AE6514" w14:textId="77777777" w:rsidR="00657688" w:rsidRPr="005D10C1" w:rsidRDefault="003B0D24">
          <w:pPr>
            <w:pStyle w:val="TDC1"/>
            <w:tabs>
              <w:tab w:val="left" w:pos="480"/>
              <w:tab w:val="right" w:leader="dot" w:pos="8828"/>
            </w:tabs>
            <w:rPr>
              <w:rFonts w:ascii="Candara" w:eastAsiaTheme="minorEastAsia" w:hAnsi="Candara" w:cstheme="minorBidi"/>
              <w:noProof/>
              <w:sz w:val="22"/>
              <w:szCs w:val="22"/>
              <w:lang w:eastAsia="es-CO"/>
            </w:rPr>
          </w:pPr>
          <w:r w:rsidRPr="005D10C1">
            <w:rPr>
              <w:rFonts w:ascii="Candara" w:hAnsi="Candara"/>
            </w:rPr>
            <w:fldChar w:fldCharType="begin"/>
          </w:r>
          <w:r w:rsidR="006A76C6" w:rsidRPr="005D10C1">
            <w:rPr>
              <w:rFonts w:ascii="Candara" w:hAnsi="Candara"/>
            </w:rPr>
            <w:instrText xml:space="preserve"> TOC \o "1-3" \h \z \u </w:instrText>
          </w:r>
          <w:r w:rsidRPr="005D10C1">
            <w:rPr>
              <w:rFonts w:ascii="Candara" w:hAnsi="Candara"/>
            </w:rPr>
            <w:fldChar w:fldCharType="separate"/>
          </w:r>
          <w:hyperlink w:anchor="_Toc377653139" w:history="1">
            <w:r w:rsidR="00657688" w:rsidRPr="005D10C1">
              <w:rPr>
                <w:rStyle w:val="Hipervnculo"/>
                <w:rFonts w:ascii="Candara" w:hAnsi="Candara"/>
                <w:noProof/>
              </w:rPr>
              <w:t>0</w:t>
            </w:r>
            <w:r w:rsidR="00657688" w:rsidRPr="005D10C1">
              <w:rPr>
                <w:rFonts w:ascii="Candara" w:eastAsiaTheme="minorEastAsia" w:hAnsi="Candara" w:cstheme="minorBidi"/>
                <w:noProof/>
                <w:sz w:val="22"/>
                <w:szCs w:val="22"/>
                <w:lang w:eastAsia="es-CO"/>
              </w:rPr>
              <w:tab/>
            </w:r>
            <w:r w:rsidR="00657688" w:rsidRPr="005D10C1">
              <w:rPr>
                <w:rStyle w:val="Hipervnculo"/>
                <w:rFonts w:ascii="Candara" w:hAnsi="Candara"/>
                <w:noProof/>
              </w:rPr>
              <w:t>Introducción</w:t>
            </w:r>
            <w:r w:rsidR="00657688" w:rsidRPr="005D10C1">
              <w:rPr>
                <w:rFonts w:ascii="Candara" w:hAnsi="Candara"/>
                <w:noProof/>
                <w:webHidden/>
              </w:rPr>
              <w:tab/>
            </w:r>
            <w:r w:rsidRPr="005D10C1">
              <w:rPr>
                <w:rFonts w:ascii="Candara" w:hAnsi="Candara"/>
                <w:noProof/>
                <w:webHidden/>
              </w:rPr>
              <w:fldChar w:fldCharType="begin"/>
            </w:r>
            <w:r w:rsidR="00657688" w:rsidRPr="005D10C1">
              <w:rPr>
                <w:rFonts w:ascii="Candara" w:hAnsi="Candara"/>
                <w:noProof/>
                <w:webHidden/>
              </w:rPr>
              <w:instrText xml:space="preserve"> PAGEREF _Toc377653139 \h </w:instrText>
            </w:r>
            <w:r w:rsidRPr="005D10C1">
              <w:rPr>
                <w:rFonts w:ascii="Candara" w:hAnsi="Candara"/>
                <w:noProof/>
                <w:webHidden/>
              </w:rPr>
            </w:r>
            <w:r w:rsidRPr="005D10C1">
              <w:rPr>
                <w:rFonts w:ascii="Candara" w:hAnsi="Candara"/>
                <w:noProof/>
                <w:webHidden/>
              </w:rPr>
              <w:fldChar w:fldCharType="separate"/>
            </w:r>
            <w:r w:rsidR="005D10C1">
              <w:rPr>
                <w:rFonts w:ascii="Candara" w:hAnsi="Candara"/>
                <w:noProof/>
                <w:webHidden/>
              </w:rPr>
              <w:t>4</w:t>
            </w:r>
            <w:r w:rsidRPr="005D10C1">
              <w:rPr>
                <w:rFonts w:ascii="Candara" w:hAnsi="Candara"/>
                <w:noProof/>
                <w:webHidden/>
              </w:rPr>
              <w:fldChar w:fldCharType="end"/>
            </w:r>
          </w:hyperlink>
        </w:p>
        <w:p w14:paraId="676872F3" w14:textId="77777777" w:rsidR="00657688" w:rsidRPr="005D10C1" w:rsidRDefault="00DB0C1B">
          <w:pPr>
            <w:pStyle w:val="TDC1"/>
            <w:tabs>
              <w:tab w:val="left" w:pos="480"/>
              <w:tab w:val="right" w:leader="dot" w:pos="8828"/>
            </w:tabs>
            <w:rPr>
              <w:rFonts w:ascii="Candara" w:eastAsiaTheme="minorEastAsia" w:hAnsi="Candara" w:cstheme="minorBidi"/>
              <w:noProof/>
              <w:sz w:val="22"/>
              <w:szCs w:val="22"/>
              <w:lang w:eastAsia="es-CO"/>
            </w:rPr>
          </w:pPr>
          <w:hyperlink w:anchor="_Toc377653140" w:history="1">
            <w:r w:rsidR="00657688" w:rsidRPr="005D10C1">
              <w:rPr>
                <w:rStyle w:val="Hipervnculo"/>
                <w:rFonts w:ascii="Candara" w:hAnsi="Candara"/>
                <w:noProof/>
              </w:rPr>
              <w:t>1</w:t>
            </w:r>
            <w:r w:rsidR="00657688" w:rsidRPr="005D10C1">
              <w:rPr>
                <w:rFonts w:ascii="Candara" w:eastAsiaTheme="minorEastAsia" w:hAnsi="Candara" w:cstheme="minorBidi"/>
                <w:noProof/>
                <w:sz w:val="22"/>
                <w:szCs w:val="22"/>
                <w:lang w:eastAsia="es-CO"/>
              </w:rPr>
              <w:tab/>
            </w:r>
            <w:r w:rsidR="00657688" w:rsidRPr="005D10C1">
              <w:rPr>
                <w:rStyle w:val="Hipervnculo"/>
                <w:rFonts w:ascii="Candara" w:hAnsi="Candara"/>
                <w:noProof/>
              </w:rPr>
              <w:t>Conceptos fundamentales</w:t>
            </w:r>
            <w:r w:rsidR="00657688" w:rsidRPr="005D10C1">
              <w:rPr>
                <w:rFonts w:ascii="Candara" w:hAnsi="Candara"/>
                <w:noProof/>
                <w:webHidden/>
              </w:rPr>
              <w:tab/>
            </w:r>
            <w:r w:rsidR="003B0D24" w:rsidRPr="005D10C1">
              <w:rPr>
                <w:rFonts w:ascii="Candara" w:hAnsi="Candara"/>
                <w:noProof/>
                <w:webHidden/>
              </w:rPr>
              <w:fldChar w:fldCharType="begin"/>
            </w:r>
            <w:r w:rsidR="00657688" w:rsidRPr="005D10C1">
              <w:rPr>
                <w:rFonts w:ascii="Candara" w:hAnsi="Candara"/>
                <w:noProof/>
                <w:webHidden/>
              </w:rPr>
              <w:instrText xml:space="preserve"> PAGEREF _Toc377653140 \h </w:instrText>
            </w:r>
            <w:r w:rsidR="003B0D24" w:rsidRPr="005D10C1">
              <w:rPr>
                <w:rFonts w:ascii="Candara" w:hAnsi="Candara"/>
                <w:noProof/>
                <w:webHidden/>
              </w:rPr>
            </w:r>
            <w:r w:rsidR="003B0D24" w:rsidRPr="005D10C1">
              <w:rPr>
                <w:rFonts w:ascii="Candara" w:hAnsi="Candara"/>
                <w:noProof/>
                <w:webHidden/>
              </w:rPr>
              <w:fldChar w:fldCharType="separate"/>
            </w:r>
            <w:r w:rsidR="005D10C1">
              <w:rPr>
                <w:rFonts w:ascii="Candara" w:hAnsi="Candara"/>
                <w:noProof/>
                <w:webHidden/>
              </w:rPr>
              <w:t>6</w:t>
            </w:r>
            <w:r w:rsidR="003B0D24" w:rsidRPr="005D10C1">
              <w:rPr>
                <w:rFonts w:ascii="Candara" w:hAnsi="Candara"/>
                <w:noProof/>
                <w:webHidden/>
              </w:rPr>
              <w:fldChar w:fldCharType="end"/>
            </w:r>
          </w:hyperlink>
        </w:p>
        <w:p w14:paraId="2D0EC772" w14:textId="77777777" w:rsidR="00657688" w:rsidRPr="005D10C1" w:rsidRDefault="00DB0C1B">
          <w:pPr>
            <w:pStyle w:val="TDC2"/>
            <w:tabs>
              <w:tab w:val="left" w:pos="880"/>
              <w:tab w:val="right" w:leader="dot" w:pos="8828"/>
            </w:tabs>
            <w:rPr>
              <w:rFonts w:ascii="Candara" w:eastAsiaTheme="minorEastAsia" w:hAnsi="Candara" w:cstheme="minorBidi"/>
              <w:noProof/>
              <w:sz w:val="22"/>
              <w:szCs w:val="22"/>
              <w:lang w:eastAsia="es-CO"/>
            </w:rPr>
          </w:pPr>
          <w:hyperlink w:anchor="_Toc377653141" w:history="1">
            <w:r w:rsidR="00657688" w:rsidRPr="005D10C1">
              <w:rPr>
                <w:rStyle w:val="Hipervnculo"/>
                <w:rFonts w:ascii="Candara" w:hAnsi="Candara"/>
                <w:noProof/>
              </w:rPr>
              <w:t>1.1</w:t>
            </w:r>
            <w:r w:rsidR="00657688" w:rsidRPr="005D10C1">
              <w:rPr>
                <w:rFonts w:ascii="Candara" w:eastAsiaTheme="minorEastAsia" w:hAnsi="Candara" w:cstheme="minorBidi"/>
                <w:noProof/>
                <w:sz w:val="22"/>
                <w:szCs w:val="22"/>
                <w:lang w:eastAsia="es-CO"/>
              </w:rPr>
              <w:tab/>
            </w:r>
            <w:r w:rsidR="00657688" w:rsidRPr="005D10C1">
              <w:rPr>
                <w:rStyle w:val="Hipervnculo"/>
                <w:rFonts w:ascii="Candara" w:hAnsi="Candara"/>
                <w:noProof/>
              </w:rPr>
              <w:t xml:space="preserve">Tipologías y definición de </w:t>
            </w:r>
            <w:r w:rsidR="00657688" w:rsidRPr="005D10C1">
              <w:rPr>
                <w:rStyle w:val="Hipervnculo"/>
                <w:rFonts w:ascii="Candara" w:hAnsi="Candara"/>
                <w:i/>
                <w:noProof/>
              </w:rPr>
              <w:t>spin-off</w:t>
            </w:r>
            <w:r w:rsidR="00657688" w:rsidRPr="005D10C1">
              <w:rPr>
                <w:rFonts w:ascii="Candara" w:hAnsi="Candara"/>
                <w:noProof/>
                <w:webHidden/>
              </w:rPr>
              <w:tab/>
            </w:r>
            <w:r w:rsidR="003B0D24" w:rsidRPr="005D10C1">
              <w:rPr>
                <w:rFonts w:ascii="Candara" w:hAnsi="Candara"/>
                <w:noProof/>
                <w:webHidden/>
              </w:rPr>
              <w:fldChar w:fldCharType="begin"/>
            </w:r>
            <w:r w:rsidR="00657688" w:rsidRPr="005D10C1">
              <w:rPr>
                <w:rFonts w:ascii="Candara" w:hAnsi="Candara"/>
                <w:noProof/>
                <w:webHidden/>
              </w:rPr>
              <w:instrText xml:space="preserve"> PAGEREF _Toc377653141 \h </w:instrText>
            </w:r>
            <w:r w:rsidR="003B0D24" w:rsidRPr="005D10C1">
              <w:rPr>
                <w:rFonts w:ascii="Candara" w:hAnsi="Candara"/>
                <w:noProof/>
                <w:webHidden/>
              </w:rPr>
            </w:r>
            <w:r w:rsidR="003B0D24" w:rsidRPr="005D10C1">
              <w:rPr>
                <w:rFonts w:ascii="Candara" w:hAnsi="Candara"/>
                <w:noProof/>
                <w:webHidden/>
              </w:rPr>
              <w:fldChar w:fldCharType="separate"/>
            </w:r>
            <w:r w:rsidR="005D10C1">
              <w:rPr>
                <w:rFonts w:ascii="Candara" w:hAnsi="Candara"/>
                <w:noProof/>
                <w:webHidden/>
              </w:rPr>
              <w:t>7</w:t>
            </w:r>
            <w:r w:rsidR="003B0D24" w:rsidRPr="005D10C1">
              <w:rPr>
                <w:rFonts w:ascii="Candara" w:hAnsi="Candara"/>
                <w:noProof/>
                <w:webHidden/>
              </w:rPr>
              <w:fldChar w:fldCharType="end"/>
            </w:r>
          </w:hyperlink>
        </w:p>
        <w:p w14:paraId="2B061ADC" w14:textId="77777777" w:rsidR="00657688" w:rsidRPr="005D10C1" w:rsidRDefault="00DB0C1B">
          <w:pPr>
            <w:pStyle w:val="TDC2"/>
            <w:tabs>
              <w:tab w:val="left" w:pos="880"/>
              <w:tab w:val="right" w:leader="dot" w:pos="8828"/>
            </w:tabs>
            <w:rPr>
              <w:rFonts w:ascii="Candara" w:eastAsiaTheme="minorEastAsia" w:hAnsi="Candara" w:cstheme="minorBidi"/>
              <w:noProof/>
              <w:sz w:val="22"/>
              <w:szCs w:val="22"/>
              <w:lang w:eastAsia="es-CO"/>
            </w:rPr>
          </w:pPr>
          <w:hyperlink w:anchor="_Toc377653142" w:history="1">
            <w:r w:rsidR="00657688" w:rsidRPr="005D10C1">
              <w:rPr>
                <w:rStyle w:val="Hipervnculo"/>
                <w:rFonts w:ascii="Candara" w:hAnsi="Candara"/>
                <w:noProof/>
              </w:rPr>
              <w:t>1.2</w:t>
            </w:r>
            <w:r w:rsidR="00657688" w:rsidRPr="005D10C1">
              <w:rPr>
                <w:rFonts w:ascii="Candara" w:eastAsiaTheme="minorEastAsia" w:hAnsi="Candara" w:cstheme="minorBidi"/>
                <w:noProof/>
                <w:sz w:val="22"/>
                <w:szCs w:val="22"/>
                <w:lang w:eastAsia="es-CO"/>
              </w:rPr>
              <w:tab/>
            </w:r>
            <w:r w:rsidR="00657688" w:rsidRPr="005D10C1">
              <w:rPr>
                <w:rStyle w:val="Hipervnculo"/>
                <w:rFonts w:ascii="Candara" w:hAnsi="Candara"/>
                <w:noProof/>
              </w:rPr>
              <w:t>La creación de spin-off y los factores que la afectan</w:t>
            </w:r>
            <w:r w:rsidR="00657688" w:rsidRPr="005D10C1">
              <w:rPr>
                <w:rFonts w:ascii="Candara" w:hAnsi="Candara"/>
                <w:noProof/>
                <w:webHidden/>
              </w:rPr>
              <w:tab/>
            </w:r>
            <w:r w:rsidR="003B0D24" w:rsidRPr="005D10C1">
              <w:rPr>
                <w:rFonts w:ascii="Candara" w:hAnsi="Candara"/>
                <w:noProof/>
                <w:webHidden/>
              </w:rPr>
              <w:fldChar w:fldCharType="begin"/>
            </w:r>
            <w:r w:rsidR="00657688" w:rsidRPr="005D10C1">
              <w:rPr>
                <w:rFonts w:ascii="Candara" w:hAnsi="Candara"/>
                <w:noProof/>
                <w:webHidden/>
              </w:rPr>
              <w:instrText xml:space="preserve"> PAGEREF _Toc377653142 \h </w:instrText>
            </w:r>
            <w:r w:rsidR="003B0D24" w:rsidRPr="005D10C1">
              <w:rPr>
                <w:rFonts w:ascii="Candara" w:hAnsi="Candara"/>
                <w:noProof/>
                <w:webHidden/>
              </w:rPr>
            </w:r>
            <w:r w:rsidR="003B0D24" w:rsidRPr="005D10C1">
              <w:rPr>
                <w:rFonts w:ascii="Candara" w:hAnsi="Candara"/>
                <w:noProof/>
                <w:webHidden/>
              </w:rPr>
              <w:fldChar w:fldCharType="separate"/>
            </w:r>
            <w:r w:rsidR="005D10C1">
              <w:rPr>
                <w:rFonts w:ascii="Candara" w:hAnsi="Candara"/>
                <w:noProof/>
                <w:webHidden/>
              </w:rPr>
              <w:t>13</w:t>
            </w:r>
            <w:r w:rsidR="003B0D24" w:rsidRPr="005D10C1">
              <w:rPr>
                <w:rFonts w:ascii="Candara" w:hAnsi="Candara"/>
                <w:noProof/>
                <w:webHidden/>
              </w:rPr>
              <w:fldChar w:fldCharType="end"/>
            </w:r>
          </w:hyperlink>
        </w:p>
        <w:p w14:paraId="2441377A" w14:textId="77777777" w:rsidR="00657688" w:rsidRPr="005D10C1" w:rsidRDefault="00DB0C1B">
          <w:pPr>
            <w:pStyle w:val="TDC1"/>
            <w:tabs>
              <w:tab w:val="left" w:pos="480"/>
              <w:tab w:val="right" w:leader="dot" w:pos="8828"/>
            </w:tabs>
            <w:rPr>
              <w:rFonts w:ascii="Candara" w:eastAsiaTheme="minorEastAsia" w:hAnsi="Candara" w:cstheme="minorBidi"/>
              <w:noProof/>
              <w:sz w:val="22"/>
              <w:szCs w:val="22"/>
              <w:lang w:eastAsia="es-CO"/>
            </w:rPr>
          </w:pPr>
          <w:hyperlink w:anchor="_Toc377653143" w:history="1">
            <w:r w:rsidR="00657688" w:rsidRPr="005D10C1">
              <w:rPr>
                <w:rStyle w:val="Hipervnculo"/>
                <w:rFonts w:ascii="Candara" w:hAnsi="Candara"/>
                <w:noProof/>
              </w:rPr>
              <w:t>2</w:t>
            </w:r>
            <w:r w:rsidR="00657688" w:rsidRPr="005D10C1">
              <w:rPr>
                <w:rFonts w:ascii="Candara" w:eastAsiaTheme="minorEastAsia" w:hAnsi="Candara" w:cstheme="minorBidi"/>
                <w:noProof/>
                <w:sz w:val="22"/>
                <w:szCs w:val="22"/>
                <w:lang w:eastAsia="es-CO"/>
              </w:rPr>
              <w:tab/>
            </w:r>
            <w:r w:rsidR="00657688" w:rsidRPr="005D10C1">
              <w:rPr>
                <w:rStyle w:val="Hipervnculo"/>
                <w:rFonts w:ascii="Candara" w:hAnsi="Candara"/>
                <w:noProof/>
              </w:rPr>
              <w:t>Marco Internacional</w:t>
            </w:r>
            <w:r w:rsidR="00657688" w:rsidRPr="005D10C1">
              <w:rPr>
                <w:rFonts w:ascii="Candara" w:hAnsi="Candara"/>
                <w:noProof/>
                <w:webHidden/>
              </w:rPr>
              <w:tab/>
            </w:r>
            <w:r w:rsidR="003B0D24" w:rsidRPr="005D10C1">
              <w:rPr>
                <w:rFonts w:ascii="Candara" w:hAnsi="Candara"/>
                <w:noProof/>
                <w:webHidden/>
              </w:rPr>
              <w:fldChar w:fldCharType="begin"/>
            </w:r>
            <w:r w:rsidR="00657688" w:rsidRPr="005D10C1">
              <w:rPr>
                <w:rFonts w:ascii="Candara" w:hAnsi="Candara"/>
                <w:noProof/>
                <w:webHidden/>
              </w:rPr>
              <w:instrText xml:space="preserve"> PAGEREF _Toc377653143 \h </w:instrText>
            </w:r>
            <w:r w:rsidR="003B0D24" w:rsidRPr="005D10C1">
              <w:rPr>
                <w:rFonts w:ascii="Candara" w:hAnsi="Candara"/>
                <w:noProof/>
                <w:webHidden/>
              </w:rPr>
            </w:r>
            <w:r w:rsidR="003B0D24" w:rsidRPr="005D10C1">
              <w:rPr>
                <w:rFonts w:ascii="Candara" w:hAnsi="Candara"/>
                <w:noProof/>
                <w:webHidden/>
              </w:rPr>
              <w:fldChar w:fldCharType="separate"/>
            </w:r>
            <w:r w:rsidR="005D10C1">
              <w:rPr>
                <w:rFonts w:ascii="Candara" w:hAnsi="Candara"/>
                <w:noProof/>
                <w:webHidden/>
              </w:rPr>
              <w:t>16</w:t>
            </w:r>
            <w:r w:rsidR="003B0D24" w:rsidRPr="005D10C1">
              <w:rPr>
                <w:rFonts w:ascii="Candara" w:hAnsi="Candara"/>
                <w:noProof/>
                <w:webHidden/>
              </w:rPr>
              <w:fldChar w:fldCharType="end"/>
            </w:r>
          </w:hyperlink>
        </w:p>
        <w:p w14:paraId="74F9F6B8" w14:textId="77777777" w:rsidR="00657688" w:rsidRPr="005D10C1" w:rsidRDefault="00DB0C1B">
          <w:pPr>
            <w:pStyle w:val="TDC2"/>
            <w:tabs>
              <w:tab w:val="left" w:pos="880"/>
              <w:tab w:val="right" w:leader="dot" w:pos="8828"/>
            </w:tabs>
            <w:rPr>
              <w:rFonts w:ascii="Candara" w:eastAsiaTheme="minorEastAsia" w:hAnsi="Candara" w:cstheme="minorBidi"/>
              <w:noProof/>
              <w:sz w:val="22"/>
              <w:szCs w:val="22"/>
              <w:lang w:eastAsia="es-CO"/>
            </w:rPr>
          </w:pPr>
          <w:hyperlink w:anchor="_Toc377653144" w:history="1">
            <w:r w:rsidR="00657688" w:rsidRPr="005D10C1">
              <w:rPr>
                <w:rStyle w:val="Hipervnculo"/>
                <w:rFonts w:ascii="Candara" w:hAnsi="Candara"/>
                <w:noProof/>
              </w:rPr>
              <w:t>2.1</w:t>
            </w:r>
            <w:r w:rsidR="00657688" w:rsidRPr="005D10C1">
              <w:rPr>
                <w:rFonts w:ascii="Candara" w:eastAsiaTheme="minorEastAsia" w:hAnsi="Candara" w:cstheme="minorBidi"/>
                <w:noProof/>
                <w:sz w:val="22"/>
                <w:szCs w:val="22"/>
                <w:lang w:eastAsia="es-CO"/>
              </w:rPr>
              <w:tab/>
            </w:r>
            <w:r w:rsidR="00657688" w:rsidRPr="005D10C1">
              <w:rPr>
                <w:rStyle w:val="Hipervnculo"/>
                <w:rFonts w:ascii="Candara" w:hAnsi="Candara"/>
                <w:noProof/>
              </w:rPr>
              <w:t>Estados Unidos</w:t>
            </w:r>
            <w:r w:rsidR="00657688" w:rsidRPr="005D10C1">
              <w:rPr>
                <w:rFonts w:ascii="Candara" w:hAnsi="Candara"/>
                <w:noProof/>
                <w:webHidden/>
              </w:rPr>
              <w:tab/>
            </w:r>
            <w:r w:rsidR="003B0D24" w:rsidRPr="005D10C1">
              <w:rPr>
                <w:rFonts w:ascii="Candara" w:hAnsi="Candara"/>
                <w:noProof/>
                <w:webHidden/>
              </w:rPr>
              <w:fldChar w:fldCharType="begin"/>
            </w:r>
            <w:r w:rsidR="00657688" w:rsidRPr="005D10C1">
              <w:rPr>
                <w:rFonts w:ascii="Candara" w:hAnsi="Candara"/>
                <w:noProof/>
                <w:webHidden/>
              </w:rPr>
              <w:instrText xml:space="preserve"> PAGEREF _Toc377653144 \h </w:instrText>
            </w:r>
            <w:r w:rsidR="003B0D24" w:rsidRPr="005D10C1">
              <w:rPr>
                <w:rFonts w:ascii="Candara" w:hAnsi="Candara"/>
                <w:noProof/>
                <w:webHidden/>
              </w:rPr>
            </w:r>
            <w:r w:rsidR="003B0D24" w:rsidRPr="005D10C1">
              <w:rPr>
                <w:rFonts w:ascii="Candara" w:hAnsi="Candara"/>
                <w:noProof/>
                <w:webHidden/>
              </w:rPr>
              <w:fldChar w:fldCharType="separate"/>
            </w:r>
            <w:r w:rsidR="005D10C1">
              <w:rPr>
                <w:rFonts w:ascii="Candara" w:hAnsi="Candara"/>
                <w:noProof/>
                <w:webHidden/>
              </w:rPr>
              <w:t>16</w:t>
            </w:r>
            <w:r w:rsidR="003B0D24" w:rsidRPr="005D10C1">
              <w:rPr>
                <w:rFonts w:ascii="Candara" w:hAnsi="Candara"/>
                <w:noProof/>
                <w:webHidden/>
              </w:rPr>
              <w:fldChar w:fldCharType="end"/>
            </w:r>
          </w:hyperlink>
        </w:p>
        <w:p w14:paraId="347AE1E9" w14:textId="77777777" w:rsidR="00657688" w:rsidRPr="005D10C1" w:rsidRDefault="00DB0C1B">
          <w:pPr>
            <w:pStyle w:val="TDC3"/>
            <w:tabs>
              <w:tab w:val="left" w:pos="1320"/>
              <w:tab w:val="right" w:leader="dot" w:pos="8828"/>
            </w:tabs>
            <w:rPr>
              <w:rFonts w:ascii="Candara" w:eastAsiaTheme="minorEastAsia" w:hAnsi="Candara" w:cstheme="minorBidi"/>
              <w:noProof/>
              <w:sz w:val="22"/>
              <w:szCs w:val="22"/>
              <w:lang w:eastAsia="es-CO"/>
            </w:rPr>
          </w:pPr>
          <w:hyperlink w:anchor="_Toc377653145" w:history="1">
            <w:r w:rsidR="00657688" w:rsidRPr="005D10C1">
              <w:rPr>
                <w:rStyle w:val="Hipervnculo"/>
                <w:rFonts w:ascii="Candara" w:hAnsi="Candara"/>
                <w:noProof/>
              </w:rPr>
              <w:t>2.1.1</w:t>
            </w:r>
            <w:r w:rsidR="00657688" w:rsidRPr="005D10C1">
              <w:rPr>
                <w:rFonts w:ascii="Candara" w:eastAsiaTheme="minorEastAsia" w:hAnsi="Candara" w:cstheme="minorBidi"/>
                <w:noProof/>
                <w:sz w:val="22"/>
                <w:szCs w:val="22"/>
                <w:lang w:eastAsia="es-CO"/>
              </w:rPr>
              <w:tab/>
            </w:r>
            <w:r w:rsidR="00657688" w:rsidRPr="005D10C1">
              <w:rPr>
                <w:rStyle w:val="Hipervnculo"/>
                <w:rFonts w:ascii="Candara" w:hAnsi="Candara"/>
                <w:noProof/>
              </w:rPr>
              <w:t>Naturaleza y desarrollo del sistema de innovación</w:t>
            </w:r>
            <w:r w:rsidR="00657688" w:rsidRPr="005D10C1">
              <w:rPr>
                <w:rFonts w:ascii="Candara" w:hAnsi="Candara"/>
                <w:noProof/>
                <w:webHidden/>
              </w:rPr>
              <w:tab/>
            </w:r>
            <w:r w:rsidR="003B0D24" w:rsidRPr="005D10C1">
              <w:rPr>
                <w:rFonts w:ascii="Candara" w:hAnsi="Candara"/>
                <w:noProof/>
                <w:webHidden/>
              </w:rPr>
              <w:fldChar w:fldCharType="begin"/>
            </w:r>
            <w:r w:rsidR="00657688" w:rsidRPr="005D10C1">
              <w:rPr>
                <w:rFonts w:ascii="Candara" w:hAnsi="Candara"/>
                <w:noProof/>
                <w:webHidden/>
              </w:rPr>
              <w:instrText xml:space="preserve"> PAGEREF _Toc377653145 \h </w:instrText>
            </w:r>
            <w:r w:rsidR="003B0D24" w:rsidRPr="005D10C1">
              <w:rPr>
                <w:rFonts w:ascii="Candara" w:hAnsi="Candara"/>
                <w:noProof/>
                <w:webHidden/>
              </w:rPr>
            </w:r>
            <w:r w:rsidR="003B0D24" w:rsidRPr="005D10C1">
              <w:rPr>
                <w:rFonts w:ascii="Candara" w:hAnsi="Candara"/>
                <w:noProof/>
                <w:webHidden/>
              </w:rPr>
              <w:fldChar w:fldCharType="separate"/>
            </w:r>
            <w:r w:rsidR="005D10C1">
              <w:rPr>
                <w:rFonts w:ascii="Candara" w:hAnsi="Candara"/>
                <w:noProof/>
                <w:webHidden/>
              </w:rPr>
              <w:t>19</w:t>
            </w:r>
            <w:r w:rsidR="003B0D24" w:rsidRPr="005D10C1">
              <w:rPr>
                <w:rFonts w:ascii="Candara" w:hAnsi="Candara"/>
                <w:noProof/>
                <w:webHidden/>
              </w:rPr>
              <w:fldChar w:fldCharType="end"/>
            </w:r>
          </w:hyperlink>
        </w:p>
        <w:p w14:paraId="6939853A" w14:textId="77777777" w:rsidR="00657688" w:rsidRPr="005D10C1" w:rsidRDefault="00DB0C1B">
          <w:pPr>
            <w:pStyle w:val="TDC3"/>
            <w:tabs>
              <w:tab w:val="left" w:pos="1320"/>
              <w:tab w:val="right" w:leader="dot" w:pos="8828"/>
            </w:tabs>
            <w:rPr>
              <w:rFonts w:ascii="Candara" w:eastAsiaTheme="minorEastAsia" w:hAnsi="Candara" w:cstheme="minorBidi"/>
              <w:noProof/>
              <w:sz w:val="22"/>
              <w:szCs w:val="22"/>
              <w:lang w:eastAsia="es-CO"/>
            </w:rPr>
          </w:pPr>
          <w:hyperlink w:anchor="_Toc377653146" w:history="1">
            <w:r w:rsidR="00657688" w:rsidRPr="005D10C1">
              <w:rPr>
                <w:rStyle w:val="Hipervnculo"/>
                <w:rFonts w:ascii="Candara" w:hAnsi="Candara"/>
                <w:noProof/>
              </w:rPr>
              <w:t>2.1.2</w:t>
            </w:r>
            <w:r w:rsidR="00657688" w:rsidRPr="005D10C1">
              <w:rPr>
                <w:rFonts w:ascii="Candara" w:eastAsiaTheme="minorEastAsia" w:hAnsi="Candara" w:cstheme="minorBidi"/>
                <w:noProof/>
                <w:sz w:val="22"/>
                <w:szCs w:val="22"/>
                <w:lang w:eastAsia="es-CO"/>
              </w:rPr>
              <w:tab/>
            </w:r>
            <w:r w:rsidR="00657688" w:rsidRPr="005D10C1">
              <w:rPr>
                <w:rStyle w:val="Hipervnculo"/>
                <w:rFonts w:ascii="Candara" w:hAnsi="Candara"/>
                <w:noProof/>
              </w:rPr>
              <w:t>Políticas y normas asociadas a la creación de spin-off</w:t>
            </w:r>
            <w:r w:rsidR="00657688" w:rsidRPr="005D10C1">
              <w:rPr>
                <w:rFonts w:ascii="Candara" w:hAnsi="Candara"/>
                <w:noProof/>
                <w:webHidden/>
              </w:rPr>
              <w:tab/>
            </w:r>
            <w:r w:rsidR="003B0D24" w:rsidRPr="005D10C1">
              <w:rPr>
                <w:rFonts w:ascii="Candara" w:hAnsi="Candara"/>
                <w:noProof/>
                <w:webHidden/>
              </w:rPr>
              <w:fldChar w:fldCharType="begin"/>
            </w:r>
            <w:r w:rsidR="00657688" w:rsidRPr="005D10C1">
              <w:rPr>
                <w:rFonts w:ascii="Candara" w:hAnsi="Candara"/>
                <w:noProof/>
                <w:webHidden/>
              </w:rPr>
              <w:instrText xml:space="preserve"> PAGEREF _Toc377653146 \h </w:instrText>
            </w:r>
            <w:r w:rsidR="003B0D24" w:rsidRPr="005D10C1">
              <w:rPr>
                <w:rFonts w:ascii="Candara" w:hAnsi="Candara"/>
                <w:noProof/>
                <w:webHidden/>
              </w:rPr>
            </w:r>
            <w:r w:rsidR="003B0D24" w:rsidRPr="005D10C1">
              <w:rPr>
                <w:rFonts w:ascii="Candara" w:hAnsi="Candara"/>
                <w:noProof/>
                <w:webHidden/>
              </w:rPr>
              <w:fldChar w:fldCharType="separate"/>
            </w:r>
            <w:r w:rsidR="005D10C1">
              <w:rPr>
                <w:rFonts w:ascii="Candara" w:hAnsi="Candara"/>
                <w:noProof/>
                <w:webHidden/>
              </w:rPr>
              <w:t>25</w:t>
            </w:r>
            <w:r w:rsidR="003B0D24" w:rsidRPr="005D10C1">
              <w:rPr>
                <w:rFonts w:ascii="Candara" w:hAnsi="Candara"/>
                <w:noProof/>
                <w:webHidden/>
              </w:rPr>
              <w:fldChar w:fldCharType="end"/>
            </w:r>
          </w:hyperlink>
        </w:p>
        <w:p w14:paraId="5EB8FD40" w14:textId="77777777" w:rsidR="00657688" w:rsidRPr="005D10C1" w:rsidRDefault="00DB0C1B">
          <w:pPr>
            <w:pStyle w:val="TDC2"/>
            <w:tabs>
              <w:tab w:val="left" w:pos="880"/>
              <w:tab w:val="right" w:leader="dot" w:pos="8828"/>
            </w:tabs>
            <w:rPr>
              <w:rFonts w:ascii="Candara" w:eastAsiaTheme="minorEastAsia" w:hAnsi="Candara" w:cstheme="minorBidi"/>
              <w:noProof/>
              <w:sz w:val="22"/>
              <w:szCs w:val="22"/>
              <w:lang w:eastAsia="es-CO"/>
            </w:rPr>
          </w:pPr>
          <w:hyperlink w:anchor="_Toc377653147" w:history="1">
            <w:r w:rsidR="00657688" w:rsidRPr="005D10C1">
              <w:rPr>
                <w:rStyle w:val="Hipervnculo"/>
                <w:rFonts w:ascii="Candara" w:hAnsi="Candara"/>
                <w:noProof/>
              </w:rPr>
              <w:t>2.2</w:t>
            </w:r>
            <w:r w:rsidR="00657688" w:rsidRPr="005D10C1">
              <w:rPr>
                <w:rFonts w:ascii="Candara" w:eastAsiaTheme="minorEastAsia" w:hAnsi="Candara" w:cstheme="minorBidi"/>
                <w:noProof/>
                <w:sz w:val="22"/>
                <w:szCs w:val="22"/>
                <w:lang w:eastAsia="es-CO"/>
              </w:rPr>
              <w:tab/>
            </w:r>
            <w:r w:rsidR="00657688" w:rsidRPr="005D10C1">
              <w:rPr>
                <w:rStyle w:val="Hipervnculo"/>
                <w:rFonts w:ascii="Candara" w:hAnsi="Candara"/>
                <w:noProof/>
              </w:rPr>
              <w:t>Brasil</w:t>
            </w:r>
            <w:r w:rsidR="00657688" w:rsidRPr="005D10C1">
              <w:rPr>
                <w:rFonts w:ascii="Candara" w:hAnsi="Candara"/>
                <w:noProof/>
                <w:webHidden/>
              </w:rPr>
              <w:tab/>
            </w:r>
            <w:r w:rsidR="003B0D24" w:rsidRPr="005D10C1">
              <w:rPr>
                <w:rFonts w:ascii="Candara" w:hAnsi="Candara"/>
                <w:noProof/>
                <w:webHidden/>
              </w:rPr>
              <w:fldChar w:fldCharType="begin"/>
            </w:r>
            <w:r w:rsidR="00657688" w:rsidRPr="005D10C1">
              <w:rPr>
                <w:rFonts w:ascii="Candara" w:hAnsi="Candara"/>
                <w:noProof/>
                <w:webHidden/>
              </w:rPr>
              <w:instrText xml:space="preserve"> PAGEREF _Toc377653147 \h </w:instrText>
            </w:r>
            <w:r w:rsidR="003B0D24" w:rsidRPr="005D10C1">
              <w:rPr>
                <w:rFonts w:ascii="Candara" w:hAnsi="Candara"/>
                <w:noProof/>
                <w:webHidden/>
              </w:rPr>
            </w:r>
            <w:r w:rsidR="003B0D24" w:rsidRPr="005D10C1">
              <w:rPr>
                <w:rFonts w:ascii="Candara" w:hAnsi="Candara"/>
                <w:noProof/>
                <w:webHidden/>
              </w:rPr>
              <w:fldChar w:fldCharType="separate"/>
            </w:r>
            <w:r w:rsidR="005D10C1">
              <w:rPr>
                <w:rFonts w:ascii="Candara" w:hAnsi="Candara"/>
                <w:noProof/>
                <w:webHidden/>
              </w:rPr>
              <w:t>29</w:t>
            </w:r>
            <w:r w:rsidR="003B0D24" w:rsidRPr="005D10C1">
              <w:rPr>
                <w:rFonts w:ascii="Candara" w:hAnsi="Candara"/>
                <w:noProof/>
                <w:webHidden/>
              </w:rPr>
              <w:fldChar w:fldCharType="end"/>
            </w:r>
          </w:hyperlink>
        </w:p>
        <w:p w14:paraId="79D871C3" w14:textId="77777777" w:rsidR="00657688" w:rsidRPr="005D10C1" w:rsidRDefault="00DB0C1B">
          <w:pPr>
            <w:pStyle w:val="TDC3"/>
            <w:tabs>
              <w:tab w:val="left" w:pos="1320"/>
              <w:tab w:val="right" w:leader="dot" w:pos="8828"/>
            </w:tabs>
            <w:rPr>
              <w:rFonts w:ascii="Candara" w:eastAsiaTheme="minorEastAsia" w:hAnsi="Candara" w:cstheme="minorBidi"/>
              <w:noProof/>
              <w:sz w:val="22"/>
              <w:szCs w:val="22"/>
              <w:lang w:eastAsia="es-CO"/>
            </w:rPr>
          </w:pPr>
          <w:hyperlink w:anchor="_Toc377653148" w:history="1">
            <w:r w:rsidR="00657688" w:rsidRPr="005D10C1">
              <w:rPr>
                <w:rStyle w:val="Hipervnculo"/>
                <w:rFonts w:ascii="Candara" w:hAnsi="Candara"/>
                <w:noProof/>
              </w:rPr>
              <w:t>2.2.1</w:t>
            </w:r>
            <w:r w:rsidR="00657688" w:rsidRPr="005D10C1">
              <w:rPr>
                <w:rFonts w:ascii="Candara" w:eastAsiaTheme="minorEastAsia" w:hAnsi="Candara" w:cstheme="minorBidi"/>
                <w:noProof/>
                <w:sz w:val="22"/>
                <w:szCs w:val="22"/>
                <w:lang w:eastAsia="es-CO"/>
              </w:rPr>
              <w:tab/>
            </w:r>
            <w:r w:rsidR="00657688" w:rsidRPr="005D10C1">
              <w:rPr>
                <w:rStyle w:val="Hipervnculo"/>
                <w:rFonts w:ascii="Candara" w:hAnsi="Candara"/>
                <w:noProof/>
              </w:rPr>
              <w:t>Naturaleza y desarrollo del sistema de innovación</w:t>
            </w:r>
            <w:r w:rsidR="00657688" w:rsidRPr="005D10C1">
              <w:rPr>
                <w:rFonts w:ascii="Candara" w:hAnsi="Candara"/>
                <w:noProof/>
                <w:webHidden/>
              </w:rPr>
              <w:tab/>
            </w:r>
            <w:r w:rsidR="003B0D24" w:rsidRPr="005D10C1">
              <w:rPr>
                <w:rFonts w:ascii="Candara" w:hAnsi="Candara"/>
                <w:noProof/>
                <w:webHidden/>
              </w:rPr>
              <w:fldChar w:fldCharType="begin"/>
            </w:r>
            <w:r w:rsidR="00657688" w:rsidRPr="005D10C1">
              <w:rPr>
                <w:rFonts w:ascii="Candara" w:hAnsi="Candara"/>
                <w:noProof/>
                <w:webHidden/>
              </w:rPr>
              <w:instrText xml:space="preserve"> PAGEREF _Toc377653148 \h </w:instrText>
            </w:r>
            <w:r w:rsidR="003B0D24" w:rsidRPr="005D10C1">
              <w:rPr>
                <w:rFonts w:ascii="Candara" w:hAnsi="Candara"/>
                <w:noProof/>
                <w:webHidden/>
              </w:rPr>
            </w:r>
            <w:r w:rsidR="003B0D24" w:rsidRPr="005D10C1">
              <w:rPr>
                <w:rFonts w:ascii="Candara" w:hAnsi="Candara"/>
                <w:noProof/>
                <w:webHidden/>
              </w:rPr>
              <w:fldChar w:fldCharType="separate"/>
            </w:r>
            <w:r w:rsidR="005D10C1">
              <w:rPr>
                <w:rFonts w:ascii="Candara" w:hAnsi="Candara"/>
                <w:noProof/>
                <w:webHidden/>
              </w:rPr>
              <w:t>30</w:t>
            </w:r>
            <w:r w:rsidR="003B0D24" w:rsidRPr="005D10C1">
              <w:rPr>
                <w:rFonts w:ascii="Candara" w:hAnsi="Candara"/>
                <w:noProof/>
                <w:webHidden/>
              </w:rPr>
              <w:fldChar w:fldCharType="end"/>
            </w:r>
          </w:hyperlink>
        </w:p>
        <w:p w14:paraId="7F914D28" w14:textId="77777777" w:rsidR="00657688" w:rsidRPr="005D10C1" w:rsidRDefault="00DB0C1B">
          <w:pPr>
            <w:pStyle w:val="TDC2"/>
            <w:tabs>
              <w:tab w:val="left" w:pos="880"/>
              <w:tab w:val="right" w:leader="dot" w:pos="8828"/>
            </w:tabs>
            <w:rPr>
              <w:rFonts w:ascii="Candara" w:eastAsiaTheme="minorEastAsia" w:hAnsi="Candara" w:cstheme="minorBidi"/>
              <w:noProof/>
              <w:sz w:val="22"/>
              <w:szCs w:val="22"/>
              <w:lang w:eastAsia="es-CO"/>
            </w:rPr>
          </w:pPr>
          <w:hyperlink w:anchor="_Toc377653149" w:history="1">
            <w:r w:rsidR="00657688" w:rsidRPr="005D10C1">
              <w:rPr>
                <w:rStyle w:val="Hipervnculo"/>
                <w:rFonts w:ascii="Candara" w:hAnsi="Candara"/>
                <w:noProof/>
              </w:rPr>
              <w:t>2.3</w:t>
            </w:r>
            <w:r w:rsidR="00657688" w:rsidRPr="005D10C1">
              <w:rPr>
                <w:rFonts w:ascii="Candara" w:eastAsiaTheme="minorEastAsia" w:hAnsi="Candara" w:cstheme="minorBidi"/>
                <w:noProof/>
                <w:sz w:val="22"/>
                <w:szCs w:val="22"/>
                <w:lang w:eastAsia="es-CO"/>
              </w:rPr>
              <w:tab/>
            </w:r>
            <w:r w:rsidR="00657688" w:rsidRPr="005D10C1">
              <w:rPr>
                <w:rStyle w:val="Hipervnculo"/>
                <w:rFonts w:ascii="Candara" w:hAnsi="Candara"/>
                <w:noProof/>
              </w:rPr>
              <w:t>Francia</w:t>
            </w:r>
            <w:r w:rsidR="00657688" w:rsidRPr="005D10C1">
              <w:rPr>
                <w:rFonts w:ascii="Candara" w:hAnsi="Candara"/>
                <w:noProof/>
                <w:webHidden/>
              </w:rPr>
              <w:tab/>
            </w:r>
            <w:r w:rsidR="003B0D24" w:rsidRPr="005D10C1">
              <w:rPr>
                <w:rFonts w:ascii="Candara" w:hAnsi="Candara"/>
                <w:noProof/>
                <w:webHidden/>
              </w:rPr>
              <w:fldChar w:fldCharType="begin"/>
            </w:r>
            <w:r w:rsidR="00657688" w:rsidRPr="005D10C1">
              <w:rPr>
                <w:rFonts w:ascii="Candara" w:hAnsi="Candara"/>
                <w:noProof/>
                <w:webHidden/>
              </w:rPr>
              <w:instrText xml:space="preserve"> PAGEREF _Toc377653149 \h </w:instrText>
            </w:r>
            <w:r w:rsidR="003B0D24" w:rsidRPr="005D10C1">
              <w:rPr>
                <w:rFonts w:ascii="Candara" w:hAnsi="Candara"/>
                <w:noProof/>
                <w:webHidden/>
              </w:rPr>
            </w:r>
            <w:r w:rsidR="003B0D24" w:rsidRPr="005D10C1">
              <w:rPr>
                <w:rFonts w:ascii="Candara" w:hAnsi="Candara"/>
                <w:noProof/>
                <w:webHidden/>
              </w:rPr>
              <w:fldChar w:fldCharType="separate"/>
            </w:r>
            <w:r w:rsidR="005D10C1">
              <w:rPr>
                <w:rFonts w:ascii="Candara" w:hAnsi="Candara"/>
                <w:noProof/>
                <w:webHidden/>
              </w:rPr>
              <w:t>36</w:t>
            </w:r>
            <w:r w:rsidR="003B0D24" w:rsidRPr="005D10C1">
              <w:rPr>
                <w:rFonts w:ascii="Candara" w:hAnsi="Candara"/>
                <w:noProof/>
                <w:webHidden/>
              </w:rPr>
              <w:fldChar w:fldCharType="end"/>
            </w:r>
          </w:hyperlink>
        </w:p>
        <w:p w14:paraId="0449F989" w14:textId="77777777" w:rsidR="00657688" w:rsidRPr="005D10C1" w:rsidRDefault="00DB0C1B">
          <w:pPr>
            <w:pStyle w:val="TDC3"/>
            <w:tabs>
              <w:tab w:val="left" w:pos="1320"/>
              <w:tab w:val="right" w:leader="dot" w:pos="8828"/>
            </w:tabs>
            <w:rPr>
              <w:rFonts w:ascii="Candara" w:eastAsiaTheme="minorEastAsia" w:hAnsi="Candara" w:cstheme="minorBidi"/>
              <w:noProof/>
              <w:sz w:val="22"/>
              <w:szCs w:val="22"/>
              <w:lang w:eastAsia="es-CO"/>
            </w:rPr>
          </w:pPr>
          <w:hyperlink w:anchor="_Toc377653150" w:history="1">
            <w:r w:rsidR="00657688" w:rsidRPr="005D10C1">
              <w:rPr>
                <w:rStyle w:val="Hipervnculo"/>
                <w:rFonts w:ascii="Candara" w:hAnsi="Candara"/>
                <w:noProof/>
              </w:rPr>
              <w:t>2.3.1</w:t>
            </w:r>
            <w:r w:rsidR="00657688" w:rsidRPr="005D10C1">
              <w:rPr>
                <w:rFonts w:ascii="Candara" w:eastAsiaTheme="minorEastAsia" w:hAnsi="Candara" w:cstheme="minorBidi"/>
                <w:noProof/>
                <w:sz w:val="22"/>
                <w:szCs w:val="22"/>
                <w:lang w:eastAsia="es-CO"/>
              </w:rPr>
              <w:tab/>
            </w:r>
            <w:r w:rsidR="00657688" w:rsidRPr="005D10C1">
              <w:rPr>
                <w:rStyle w:val="Hipervnculo"/>
                <w:rFonts w:ascii="Candara" w:hAnsi="Candara"/>
                <w:noProof/>
              </w:rPr>
              <w:t>Naturaleza y desarrollo del sistema de innovación</w:t>
            </w:r>
            <w:r w:rsidR="00657688" w:rsidRPr="005D10C1">
              <w:rPr>
                <w:rFonts w:ascii="Candara" w:hAnsi="Candara"/>
                <w:noProof/>
                <w:webHidden/>
              </w:rPr>
              <w:tab/>
            </w:r>
            <w:r w:rsidR="003B0D24" w:rsidRPr="005D10C1">
              <w:rPr>
                <w:rFonts w:ascii="Candara" w:hAnsi="Candara"/>
                <w:noProof/>
                <w:webHidden/>
              </w:rPr>
              <w:fldChar w:fldCharType="begin"/>
            </w:r>
            <w:r w:rsidR="00657688" w:rsidRPr="005D10C1">
              <w:rPr>
                <w:rFonts w:ascii="Candara" w:hAnsi="Candara"/>
                <w:noProof/>
                <w:webHidden/>
              </w:rPr>
              <w:instrText xml:space="preserve"> PAGEREF _Toc377653150 \h </w:instrText>
            </w:r>
            <w:r w:rsidR="003B0D24" w:rsidRPr="005D10C1">
              <w:rPr>
                <w:rFonts w:ascii="Candara" w:hAnsi="Candara"/>
                <w:noProof/>
                <w:webHidden/>
              </w:rPr>
            </w:r>
            <w:r w:rsidR="003B0D24" w:rsidRPr="005D10C1">
              <w:rPr>
                <w:rFonts w:ascii="Candara" w:hAnsi="Candara"/>
                <w:noProof/>
                <w:webHidden/>
              </w:rPr>
              <w:fldChar w:fldCharType="separate"/>
            </w:r>
            <w:r w:rsidR="005D10C1">
              <w:rPr>
                <w:rFonts w:ascii="Candara" w:hAnsi="Candara"/>
                <w:noProof/>
                <w:webHidden/>
              </w:rPr>
              <w:t>36</w:t>
            </w:r>
            <w:r w:rsidR="003B0D24" w:rsidRPr="005D10C1">
              <w:rPr>
                <w:rFonts w:ascii="Candara" w:hAnsi="Candara"/>
                <w:noProof/>
                <w:webHidden/>
              </w:rPr>
              <w:fldChar w:fldCharType="end"/>
            </w:r>
          </w:hyperlink>
        </w:p>
        <w:p w14:paraId="24F6B5F1" w14:textId="77777777" w:rsidR="00657688" w:rsidRPr="005D10C1" w:rsidRDefault="00DB0C1B">
          <w:pPr>
            <w:pStyle w:val="TDC3"/>
            <w:tabs>
              <w:tab w:val="left" w:pos="1320"/>
              <w:tab w:val="right" w:leader="dot" w:pos="8828"/>
            </w:tabs>
            <w:rPr>
              <w:rFonts w:ascii="Candara" w:eastAsiaTheme="minorEastAsia" w:hAnsi="Candara" w:cstheme="minorBidi"/>
              <w:noProof/>
              <w:sz w:val="22"/>
              <w:szCs w:val="22"/>
              <w:lang w:eastAsia="es-CO"/>
            </w:rPr>
          </w:pPr>
          <w:hyperlink w:anchor="_Toc377653151" w:history="1">
            <w:r w:rsidR="00657688" w:rsidRPr="005D10C1">
              <w:rPr>
                <w:rStyle w:val="Hipervnculo"/>
                <w:rFonts w:ascii="Candara" w:hAnsi="Candara"/>
                <w:noProof/>
              </w:rPr>
              <w:t>2.3.2</w:t>
            </w:r>
            <w:r w:rsidR="00657688" w:rsidRPr="005D10C1">
              <w:rPr>
                <w:rFonts w:ascii="Candara" w:eastAsiaTheme="minorEastAsia" w:hAnsi="Candara" w:cstheme="minorBidi"/>
                <w:noProof/>
                <w:sz w:val="22"/>
                <w:szCs w:val="22"/>
                <w:lang w:eastAsia="es-CO"/>
              </w:rPr>
              <w:tab/>
            </w:r>
            <w:r w:rsidR="00657688" w:rsidRPr="005D10C1">
              <w:rPr>
                <w:rStyle w:val="Hipervnculo"/>
                <w:rFonts w:ascii="Candara" w:hAnsi="Candara"/>
                <w:noProof/>
              </w:rPr>
              <w:t>Políticas y normas asociadas a la creación de spin-off</w:t>
            </w:r>
            <w:r w:rsidR="00657688" w:rsidRPr="005D10C1">
              <w:rPr>
                <w:rFonts w:ascii="Candara" w:hAnsi="Candara"/>
                <w:noProof/>
                <w:webHidden/>
              </w:rPr>
              <w:tab/>
            </w:r>
            <w:r w:rsidR="003B0D24" w:rsidRPr="005D10C1">
              <w:rPr>
                <w:rFonts w:ascii="Candara" w:hAnsi="Candara"/>
                <w:noProof/>
                <w:webHidden/>
              </w:rPr>
              <w:fldChar w:fldCharType="begin"/>
            </w:r>
            <w:r w:rsidR="00657688" w:rsidRPr="005D10C1">
              <w:rPr>
                <w:rFonts w:ascii="Candara" w:hAnsi="Candara"/>
                <w:noProof/>
                <w:webHidden/>
              </w:rPr>
              <w:instrText xml:space="preserve"> PAGEREF _Toc377653151 \h </w:instrText>
            </w:r>
            <w:r w:rsidR="003B0D24" w:rsidRPr="005D10C1">
              <w:rPr>
                <w:rFonts w:ascii="Candara" w:hAnsi="Candara"/>
                <w:noProof/>
                <w:webHidden/>
              </w:rPr>
            </w:r>
            <w:r w:rsidR="003B0D24" w:rsidRPr="005D10C1">
              <w:rPr>
                <w:rFonts w:ascii="Candara" w:hAnsi="Candara"/>
                <w:noProof/>
                <w:webHidden/>
              </w:rPr>
              <w:fldChar w:fldCharType="separate"/>
            </w:r>
            <w:r w:rsidR="005D10C1">
              <w:rPr>
                <w:rFonts w:ascii="Candara" w:hAnsi="Candara"/>
                <w:noProof/>
                <w:webHidden/>
              </w:rPr>
              <w:t>41</w:t>
            </w:r>
            <w:r w:rsidR="003B0D24" w:rsidRPr="005D10C1">
              <w:rPr>
                <w:rFonts w:ascii="Candara" w:hAnsi="Candara"/>
                <w:noProof/>
                <w:webHidden/>
              </w:rPr>
              <w:fldChar w:fldCharType="end"/>
            </w:r>
          </w:hyperlink>
        </w:p>
        <w:p w14:paraId="27AEA8BB" w14:textId="77777777" w:rsidR="00657688" w:rsidRPr="005D10C1" w:rsidRDefault="00DB0C1B">
          <w:pPr>
            <w:pStyle w:val="TDC2"/>
            <w:tabs>
              <w:tab w:val="left" w:pos="880"/>
              <w:tab w:val="right" w:leader="dot" w:pos="8828"/>
            </w:tabs>
            <w:rPr>
              <w:rFonts w:ascii="Candara" w:eastAsiaTheme="minorEastAsia" w:hAnsi="Candara" w:cstheme="minorBidi"/>
              <w:noProof/>
              <w:sz w:val="22"/>
              <w:szCs w:val="22"/>
              <w:lang w:eastAsia="es-CO"/>
            </w:rPr>
          </w:pPr>
          <w:hyperlink w:anchor="_Toc377653152" w:history="1">
            <w:r w:rsidR="00657688" w:rsidRPr="005D10C1">
              <w:rPr>
                <w:rStyle w:val="Hipervnculo"/>
                <w:rFonts w:ascii="Candara" w:hAnsi="Candara"/>
                <w:noProof/>
              </w:rPr>
              <w:t>2.4</w:t>
            </w:r>
            <w:r w:rsidR="00657688" w:rsidRPr="005D10C1">
              <w:rPr>
                <w:rFonts w:ascii="Candara" w:eastAsiaTheme="minorEastAsia" w:hAnsi="Candara" w:cstheme="minorBidi"/>
                <w:noProof/>
                <w:sz w:val="22"/>
                <w:szCs w:val="22"/>
                <w:lang w:eastAsia="es-CO"/>
              </w:rPr>
              <w:tab/>
            </w:r>
            <w:r w:rsidR="00657688" w:rsidRPr="005D10C1">
              <w:rPr>
                <w:rStyle w:val="Hipervnculo"/>
                <w:rFonts w:ascii="Candara" w:hAnsi="Candara"/>
                <w:noProof/>
              </w:rPr>
              <w:t>España</w:t>
            </w:r>
            <w:r w:rsidR="00657688" w:rsidRPr="005D10C1">
              <w:rPr>
                <w:rFonts w:ascii="Candara" w:hAnsi="Candara"/>
                <w:noProof/>
                <w:webHidden/>
              </w:rPr>
              <w:tab/>
            </w:r>
            <w:r w:rsidR="003B0D24" w:rsidRPr="005D10C1">
              <w:rPr>
                <w:rFonts w:ascii="Candara" w:hAnsi="Candara"/>
                <w:noProof/>
                <w:webHidden/>
              </w:rPr>
              <w:fldChar w:fldCharType="begin"/>
            </w:r>
            <w:r w:rsidR="00657688" w:rsidRPr="005D10C1">
              <w:rPr>
                <w:rFonts w:ascii="Candara" w:hAnsi="Candara"/>
                <w:noProof/>
                <w:webHidden/>
              </w:rPr>
              <w:instrText xml:space="preserve"> PAGEREF _Toc377653152 \h </w:instrText>
            </w:r>
            <w:r w:rsidR="003B0D24" w:rsidRPr="005D10C1">
              <w:rPr>
                <w:rFonts w:ascii="Candara" w:hAnsi="Candara"/>
                <w:noProof/>
                <w:webHidden/>
              </w:rPr>
            </w:r>
            <w:r w:rsidR="003B0D24" w:rsidRPr="005D10C1">
              <w:rPr>
                <w:rFonts w:ascii="Candara" w:hAnsi="Candara"/>
                <w:noProof/>
                <w:webHidden/>
              </w:rPr>
              <w:fldChar w:fldCharType="separate"/>
            </w:r>
            <w:r w:rsidR="005D10C1">
              <w:rPr>
                <w:rFonts w:ascii="Candara" w:hAnsi="Candara"/>
                <w:noProof/>
                <w:webHidden/>
              </w:rPr>
              <w:t>45</w:t>
            </w:r>
            <w:r w:rsidR="003B0D24" w:rsidRPr="005D10C1">
              <w:rPr>
                <w:rFonts w:ascii="Candara" w:hAnsi="Candara"/>
                <w:noProof/>
                <w:webHidden/>
              </w:rPr>
              <w:fldChar w:fldCharType="end"/>
            </w:r>
          </w:hyperlink>
        </w:p>
        <w:p w14:paraId="728BE107" w14:textId="77777777" w:rsidR="00657688" w:rsidRPr="005D10C1" w:rsidRDefault="00DB0C1B">
          <w:pPr>
            <w:pStyle w:val="TDC3"/>
            <w:tabs>
              <w:tab w:val="left" w:pos="1320"/>
              <w:tab w:val="right" w:leader="dot" w:pos="8828"/>
            </w:tabs>
            <w:rPr>
              <w:rFonts w:ascii="Candara" w:eastAsiaTheme="minorEastAsia" w:hAnsi="Candara" w:cstheme="minorBidi"/>
              <w:noProof/>
              <w:sz w:val="22"/>
              <w:szCs w:val="22"/>
              <w:lang w:eastAsia="es-CO"/>
            </w:rPr>
          </w:pPr>
          <w:hyperlink w:anchor="_Toc377653153" w:history="1">
            <w:r w:rsidR="00657688" w:rsidRPr="005D10C1">
              <w:rPr>
                <w:rStyle w:val="Hipervnculo"/>
                <w:rFonts w:ascii="Candara" w:hAnsi="Candara"/>
                <w:noProof/>
              </w:rPr>
              <w:t>2.4.1</w:t>
            </w:r>
            <w:r w:rsidR="00657688" w:rsidRPr="005D10C1">
              <w:rPr>
                <w:rFonts w:ascii="Candara" w:eastAsiaTheme="minorEastAsia" w:hAnsi="Candara" w:cstheme="minorBidi"/>
                <w:noProof/>
                <w:sz w:val="22"/>
                <w:szCs w:val="22"/>
                <w:lang w:eastAsia="es-CO"/>
              </w:rPr>
              <w:tab/>
            </w:r>
            <w:r w:rsidR="00657688" w:rsidRPr="005D10C1">
              <w:rPr>
                <w:rStyle w:val="Hipervnculo"/>
                <w:rFonts w:ascii="Candara" w:hAnsi="Candara"/>
                <w:noProof/>
              </w:rPr>
              <w:t>Naturaleza y desarrollo del sistema de innovación</w:t>
            </w:r>
            <w:r w:rsidR="00657688" w:rsidRPr="005D10C1">
              <w:rPr>
                <w:rFonts w:ascii="Candara" w:hAnsi="Candara"/>
                <w:noProof/>
                <w:webHidden/>
              </w:rPr>
              <w:tab/>
            </w:r>
            <w:r w:rsidR="003B0D24" w:rsidRPr="005D10C1">
              <w:rPr>
                <w:rFonts w:ascii="Candara" w:hAnsi="Candara"/>
                <w:noProof/>
                <w:webHidden/>
              </w:rPr>
              <w:fldChar w:fldCharType="begin"/>
            </w:r>
            <w:r w:rsidR="00657688" w:rsidRPr="005D10C1">
              <w:rPr>
                <w:rFonts w:ascii="Candara" w:hAnsi="Candara"/>
                <w:noProof/>
                <w:webHidden/>
              </w:rPr>
              <w:instrText xml:space="preserve"> PAGEREF _Toc377653153 \h </w:instrText>
            </w:r>
            <w:r w:rsidR="003B0D24" w:rsidRPr="005D10C1">
              <w:rPr>
                <w:rFonts w:ascii="Candara" w:hAnsi="Candara"/>
                <w:noProof/>
                <w:webHidden/>
              </w:rPr>
            </w:r>
            <w:r w:rsidR="003B0D24" w:rsidRPr="005D10C1">
              <w:rPr>
                <w:rFonts w:ascii="Candara" w:hAnsi="Candara"/>
                <w:noProof/>
                <w:webHidden/>
              </w:rPr>
              <w:fldChar w:fldCharType="separate"/>
            </w:r>
            <w:r w:rsidR="005D10C1">
              <w:rPr>
                <w:rFonts w:ascii="Candara" w:hAnsi="Candara"/>
                <w:noProof/>
                <w:webHidden/>
              </w:rPr>
              <w:t>47</w:t>
            </w:r>
            <w:r w:rsidR="003B0D24" w:rsidRPr="005D10C1">
              <w:rPr>
                <w:rFonts w:ascii="Candara" w:hAnsi="Candara"/>
                <w:noProof/>
                <w:webHidden/>
              </w:rPr>
              <w:fldChar w:fldCharType="end"/>
            </w:r>
          </w:hyperlink>
        </w:p>
        <w:p w14:paraId="7B44B43D" w14:textId="77777777" w:rsidR="00657688" w:rsidRPr="005D10C1" w:rsidRDefault="00DB0C1B">
          <w:pPr>
            <w:pStyle w:val="TDC3"/>
            <w:tabs>
              <w:tab w:val="left" w:pos="1320"/>
              <w:tab w:val="right" w:leader="dot" w:pos="8828"/>
            </w:tabs>
            <w:rPr>
              <w:rFonts w:ascii="Candara" w:eastAsiaTheme="minorEastAsia" w:hAnsi="Candara" w:cstheme="minorBidi"/>
              <w:noProof/>
              <w:sz w:val="22"/>
              <w:szCs w:val="22"/>
              <w:lang w:eastAsia="es-CO"/>
            </w:rPr>
          </w:pPr>
          <w:hyperlink w:anchor="_Toc377653154" w:history="1">
            <w:r w:rsidR="00657688" w:rsidRPr="005D10C1">
              <w:rPr>
                <w:rStyle w:val="Hipervnculo"/>
                <w:rFonts w:ascii="Candara" w:hAnsi="Candara"/>
                <w:noProof/>
              </w:rPr>
              <w:t>2.4.2</w:t>
            </w:r>
            <w:r w:rsidR="00657688" w:rsidRPr="005D10C1">
              <w:rPr>
                <w:rFonts w:ascii="Candara" w:eastAsiaTheme="minorEastAsia" w:hAnsi="Candara" w:cstheme="minorBidi"/>
                <w:noProof/>
                <w:sz w:val="22"/>
                <w:szCs w:val="22"/>
                <w:lang w:eastAsia="es-CO"/>
              </w:rPr>
              <w:tab/>
            </w:r>
            <w:r w:rsidR="00657688" w:rsidRPr="005D10C1">
              <w:rPr>
                <w:rStyle w:val="Hipervnculo"/>
                <w:rFonts w:ascii="Candara" w:hAnsi="Candara"/>
                <w:noProof/>
              </w:rPr>
              <w:t>Políticas y normas asociadas a la creación de spin-off</w:t>
            </w:r>
            <w:r w:rsidR="00657688" w:rsidRPr="005D10C1">
              <w:rPr>
                <w:rFonts w:ascii="Candara" w:hAnsi="Candara"/>
                <w:noProof/>
                <w:webHidden/>
              </w:rPr>
              <w:tab/>
            </w:r>
            <w:r w:rsidR="003B0D24" w:rsidRPr="005D10C1">
              <w:rPr>
                <w:rFonts w:ascii="Candara" w:hAnsi="Candara"/>
                <w:noProof/>
                <w:webHidden/>
              </w:rPr>
              <w:fldChar w:fldCharType="begin"/>
            </w:r>
            <w:r w:rsidR="00657688" w:rsidRPr="005D10C1">
              <w:rPr>
                <w:rFonts w:ascii="Candara" w:hAnsi="Candara"/>
                <w:noProof/>
                <w:webHidden/>
              </w:rPr>
              <w:instrText xml:space="preserve"> PAGEREF _Toc377653154 \h </w:instrText>
            </w:r>
            <w:r w:rsidR="003B0D24" w:rsidRPr="005D10C1">
              <w:rPr>
                <w:rFonts w:ascii="Candara" w:hAnsi="Candara"/>
                <w:noProof/>
                <w:webHidden/>
              </w:rPr>
            </w:r>
            <w:r w:rsidR="003B0D24" w:rsidRPr="005D10C1">
              <w:rPr>
                <w:rFonts w:ascii="Candara" w:hAnsi="Candara"/>
                <w:noProof/>
                <w:webHidden/>
              </w:rPr>
              <w:fldChar w:fldCharType="separate"/>
            </w:r>
            <w:r w:rsidR="005D10C1">
              <w:rPr>
                <w:rFonts w:ascii="Candara" w:hAnsi="Candara"/>
                <w:noProof/>
                <w:webHidden/>
              </w:rPr>
              <w:t>50</w:t>
            </w:r>
            <w:r w:rsidR="003B0D24" w:rsidRPr="005D10C1">
              <w:rPr>
                <w:rFonts w:ascii="Candara" w:hAnsi="Candara"/>
                <w:noProof/>
                <w:webHidden/>
              </w:rPr>
              <w:fldChar w:fldCharType="end"/>
            </w:r>
          </w:hyperlink>
        </w:p>
        <w:p w14:paraId="15C37B2E" w14:textId="77777777" w:rsidR="00657688" w:rsidRPr="005D10C1" w:rsidRDefault="00DB0C1B">
          <w:pPr>
            <w:pStyle w:val="TDC1"/>
            <w:tabs>
              <w:tab w:val="left" w:pos="480"/>
              <w:tab w:val="right" w:leader="dot" w:pos="8828"/>
            </w:tabs>
            <w:rPr>
              <w:rFonts w:ascii="Candara" w:eastAsiaTheme="minorEastAsia" w:hAnsi="Candara" w:cstheme="minorBidi"/>
              <w:noProof/>
              <w:sz w:val="22"/>
              <w:szCs w:val="22"/>
              <w:lang w:eastAsia="es-CO"/>
            </w:rPr>
          </w:pPr>
          <w:hyperlink w:anchor="_Toc377653155" w:history="1">
            <w:r w:rsidR="00657688" w:rsidRPr="005D10C1">
              <w:rPr>
                <w:rStyle w:val="Hipervnculo"/>
                <w:rFonts w:ascii="Candara" w:hAnsi="Candara"/>
                <w:noProof/>
              </w:rPr>
              <w:t>3</w:t>
            </w:r>
            <w:r w:rsidR="00657688" w:rsidRPr="005D10C1">
              <w:rPr>
                <w:rFonts w:ascii="Candara" w:eastAsiaTheme="minorEastAsia" w:hAnsi="Candara" w:cstheme="minorBidi"/>
                <w:noProof/>
                <w:sz w:val="22"/>
                <w:szCs w:val="22"/>
                <w:lang w:eastAsia="es-CO"/>
              </w:rPr>
              <w:tab/>
            </w:r>
            <w:r w:rsidR="00657688" w:rsidRPr="005D10C1">
              <w:rPr>
                <w:rStyle w:val="Hipervnculo"/>
                <w:rFonts w:ascii="Candara" w:hAnsi="Candara"/>
                <w:noProof/>
              </w:rPr>
              <w:t>Marco Nacional</w:t>
            </w:r>
            <w:r w:rsidR="00657688" w:rsidRPr="005D10C1">
              <w:rPr>
                <w:rFonts w:ascii="Candara" w:hAnsi="Candara"/>
                <w:noProof/>
                <w:webHidden/>
              </w:rPr>
              <w:tab/>
            </w:r>
            <w:r w:rsidR="003B0D24" w:rsidRPr="005D10C1">
              <w:rPr>
                <w:rFonts w:ascii="Candara" w:hAnsi="Candara"/>
                <w:noProof/>
                <w:webHidden/>
              </w:rPr>
              <w:fldChar w:fldCharType="begin"/>
            </w:r>
            <w:r w:rsidR="00657688" w:rsidRPr="005D10C1">
              <w:rPr>
                <w:rFonts w:ascii="Candara" w:hAnsi="Candara"/>
                <w:noProof/>
                <w:webHidden/>
              </w:rPr>
              <w:instrText xml:space="preserve"> PAGEREF _Toc377653155 \h </w:instrText>
            </w:r>
            <w:r w:rsidR="003B0D24" w:rsidRPr="005D10C1">
              <w:rPr>
                <w:rFonts w:ascii="Candara" w:hAnsi="Candara"/>
                <w:noProof/>
                <w:webHidden/>
              </w:rPr>
            </w:r>
            <w:r w:rsidR="003B0D24" w:rsidRPr="005D10C1">
              <w:rPr>
                <w:rFonts w:ascii="Candara" w:hAnsi="Candara"/>
                <w:noProof/>
                <w:webHidden/>
              </w:rPr>
              <w:fldChar w:fldCharType="separate"/>
            </w:r>
            <w:r w:rsidR="005D10C1">
              <w:rPr>
                <w:rFonts w:ascii="Candara" w:hAnsi="Candara"/>
                <w:noProof/>
                <w:webHidden/>
              </w:rPr>
              <w:t>55</w:t>
            </w:r>
            <w:r w:rsidR="003B0D24" w:rsidRPr="005D10C1">
              <w:rPr>
                <w:rFonts w:ascii="Candara" w:hAnsi="Candara"/>
                <w:noProof/>
                <w:webHidden/>
              </w:rPr>
              <w:fldChar w:fldCharType="end"/>
            </w:r>
          </w:hyperlink>
        </w:p>
        <w:p w14:paraId="0759404C" w14:textId="77777777" w:rsidR="00657688" w:rsidRPr="005D10C1" w:rsidRDefault="00DB0C1B">
          <w:pPr>
            <w:pStyle w:val="TDC2"/>
            <w:tabs>
              <w:tab w:val="left" w:pos="880"/>
              <w:tab w:val="right" w:leader="dot" w:pos="8828"/>
            </w:tabs>
            <w:rPr>
              <w:rFonts w:ascii="Candara" w:eastAsiaTheme="minorEastAsia" w:hAnsi="Candara" w:cstheme="minorBidi"/>
              <w:noProof/>
              <w:sz w:val="22"/>
              <w:szCs w:val="22"/>
              <w:lang w:eastAsia="es-CO"/>
            </w:rPr>
          </w:pPr>
          <w:hyperlink w:anchor="_Toc377653156" w:history="1">
            <w:r w:rsidR="00657688" w:rsidRPr="005D10C1">
              <w:rPr>
                <w:rStyle w:val="Hipervnculo"/>
                <w:rFonts w:ascii="Candara" w:hAnsi="Candara"/>
                <w:noProof/>
              </w:rPr>
              <w:t>3.1</w:t>
            </w:r>
            <w:r w:rsidR="00657688" w:rsidRPr="005D10C1">
              <w:rPr>
                <w:rFonts w:ascii="Candara" w:eastAsiaTheme="minorEastAsia" w:hAnsi="Candara" w:cstheme="minorBidi"/>
                <w:noProof/>
                <w:sz w:val="22"/>
                <w:szCs w:val="22"/>
                <w:lang w:eastAsia="es-CO"/>
              </w:rPr>
              <w:tab/>
            </w:r>
            <w:r w:rsidR="00657688" w:rsidRPr="005D10C1">
              <w:rPr>
                <w:rStyle w:val="Hipervnculo"/>
                <w:rFonts w:ascii="Candara" w:hAnsi="Candara"/>
                <w:noProof/>
              </w:rPr>
              <w:t>Sistema Nacional de Ciencia Tecnología e Innovación SNCTI</w:t>
            </w:r>
            <w:r w:rsidR="00657688" w:rsidRPr="005D10C1">
              <w:rPr>
                <w:rFonts w:ascii="Candara" w:hAnsi="Candara"/>
                <w:noProof/>
                <w:webHidden/>
              </w:rPr>
              <w:tab/>
            </w:r>
            <w:r w:rsidR="003B0D24" w:rsidRPr="005D10C1">
              <w:rPr>
                <w:rFonts w:ascii="Candara" w:hAnsi="Candara"/>
                <w:noProof/>
                <w:webHidden/>
              </w:rPr>
              <w:fldChar w:fldCharType="begin"/>
            </w:r>
            <w:r w:rsidR="00657688" w:rsidRPr="005D10C1">
              <w:rPr>
                <w:rFonts w:ascii="Candara" w:hAnsi="Candara"/>
                <w:noProof/>
                <w:webHidden/>
              </w:rPr>
              <w:instrText xml:space="preserve"> PAGEREF _Toc377653156 \h </w:instrText>
            </w:r>
            <w:r w:rsidR="003B0D24" w:rsidRPr="005D10C1">
              <w:rPr>
                <w:rFonts w:ascii="Candara" w:hAnsi="Candara"/>
                <w:noProof/>
                <w:webHidden/>
              </w:rPr>
            </w:r>
            <w:r w:rsidR="003B0D24" w:rsidRPr="005D10C1">
              <w:rPr>
                <w:rFonts w:ascii="Candara" w:hAnsi="Candara"/>
                <w:noProof/>
                <w:webHidden/>
              </w:rPr>
              <w:fldChar w:fldCharType="separate"/>
            </w:r>
            <w:r w:rsidR="005D10C1">
              <w:rPr>
                <w:rFonts w:ascii="Candara" w:hAnsi="Candara"/>
                <w:noProof/>
                <w:webHidden/>
              </w:rPr>
              <w:t>55</w:t>
            </w:r>
            <w:r w:rsidR="003B0D24" w:rsidRPr="005D10C1">
              <w:rPr>
                <w:rFonts w:ascii="Candara" w:hAnsi="Candara"/>
                <w:noProof/>
                <w:webHidden/>
              </w:rPr>
              <w:fldChar w:fldCharType="end"/>
            </w:r>
          </w:hyperlink>
        </w:p>
        <w:p w14:paraId="06045A03" w14:textId="77777777" w:rsidR="00657688" w:rsidRPr="005D10C1" w:rsidRDefault="00DB0C1B">
          <w:pPr>
            <w:pStyle w:val="TDC3"/>
            <w:tabs>
              <w:tab w:val="left" w:pos="1320"/>
              <w:tab w:val="right" w:leader="dot" w:pos="8828"/>
            </w:tabs>
            <w:rPr>
              <w:rFonts w:ascii="Candara" w:eastAsiaTheme="minorEastAsia" w:hAnsi="Candara" w:cstheme="minorBidi"/>
              <w:noProof/>
              <w:sz w:val="22"/>
              <w:szCs w:val="22"/>
              <w:lang w:eastAsia="es-CO"/>
            </w:rPr>
          </w:pPr>
          <w:hyperlink w:anchor="_Toc377653157" w:history="1">
            <w:r w:rsidR="00657688" w:rsidRPr="005D10C1">
              <w:rPr>
                <w:rStyle w:val="Hipervnculo"/>
                <w:rFonts w:ascii="Candara" w:hAnsi="Candara"/>
                <w:noProof/>
              </w:rPr>
              <w:t>3.1.1</w:t>
            </w:r>
            <w:r w:rsidR="00657688" w:rsidRPr="005D10C1">
              <w:rPr>
                <w:rFonts w:ascii="Candara" w:eastAsiaTheme="minorEastAsia" w:hAnsi="Candara" w:cstheme="minorBidi"/>
                <w:noProof/>
                <w:sz w:val="22"/>
                <w:szCs w:val="22"/>
                <w:lang w:eastAsia="es-CO"/>
              </w:rPr>
              <w:tab/>
            </w:r>
            <w:r w:rsidR="00657688" w:rsidRPr="005D10C1">
              <w:rPr>
                <w:rStyle w:val="Hipervnculo"/>
                <w:rFonts w:ascii="Candara" w:hAnsi="Candara"/>
                <w:noProof/>
              </w:rPr>
              <w:t>Agentes del sistema</w:t>
            </w:r>
            <w:r w:rsidR="00657688" w:rsidRPr="005D10C1">
              <w:rPr>
                <w:rFonts w:ascii="Candara" w:hAnsi="Candara"/>
                <w:noProof/>
                <w:webHidden/>
              </w:rPr>
              <w:tab/>
            </w:r>
            <w:r w:rsidR="003B0D24" w:rsidRPr="005D10C1">
              <w:rPr>
                <w:rFonts w:ascii="Candara" w:hAnsi="Candara"/>
                <w:noProof/>
                <w:webHidden/>
              </w:rPr>
              <w:fldChar w:fldCharType="begin"/>
            </w:r>
            <w:r w:rsidR="00657688" w:rsidRPr="005D10C1">
              <w:rPr>
                <w:rFonts w:ascii="Candara" w:hAnsi="Candara"/>
                <w:noProof/>
                <w:webHidden/>
              </w:rPr>
              <w:instrText xml:space="preserve"> PAGEREF _Toc377653157 \h </w:instrText>
            </w:r>
            <w:r w:rsidR="003B0D24" w:rsidRPr="005D10C1">
              <w:rPr>
                <w:rFonts w:ascii="Candara" w:hAnsi="Candara"/>
                <w:noProof/>
                <w:webHidden/>
              </w:rPr>
            </w:r>
            <w:r w:rsidR="003B0D24" w:rsidRPr="005D10C1">
              <w:rPr>
                <w:rFonts w:ascii="Candara" w:hAnsi="Candara"/>
                <w:noProof/>
                <w:webHidden/>
              </w:rPr>
              <w:fldChar w:fldCharType="separate"/>
            </w:r>
            <w:r w:rsidR="005D10C1">
              <w:rPr>
                <w:rFonts w:ascii="Candara" w:hAnsi="Candara"/>
                <w:noProof/>
                <w:webHidden/>
              </w:rPr>
              <w:t>60</w:t>
            </w:r>
            <w:r w:rsidR="003B0D24" w:rsidRPr="005D10C1">
              <w:rPr>
                <w:rFonts w:ascii="Candara" w:hAnsi="Candara"/>
                <w:noProof/>
                <w:webHidden/>
              </w:rPr>
              <w:fldChar w:fldCharType="end"/>
            </w:r>
          </w:hyperlink>
        </w:p>
        <w:p w14:paraId="6FFDD39E" w14:textId="77777777" w:rsidR="00657688" w:rsidRPr="005D10C1" w:rsidRDefault="00DB0C1B">
          <w:pPr>
            <w:pStyle w:val="TDC2"/>
            <w:tabs>
              <w:tab w:val="left" w:pos="880"/>
              <w:tab w:val="right" w:leader="dot" w:pos="8828"/>
            </w:tabs>
            <w:rPr>
              <w:rFonts w:ascii="Candara" w:eastAsiaTheme="minorEastAsia" w:hAnsi="Candara" w:cstheme="minorBidi"/>
              <w:noProof/>
              <w:sz w:val="22"/>
              <w:szCs w:val="22"/>
              <w:lang w:eastAsia="es-CO"/>
            </w:rPr>
          </w:pPr>
          <w:hyperlink w:anchor="_Toc377653158" w:history="1">
            <w:r w:rsidR="00657688" w:rsidRPr="005D10C1">
              <w:rPr>
                <w:rStyle w:val="Hipervnculo"/>
                <w:rFonts w:ascii="Candara" w:hAnsi="Candara"/>
                <w:noProof/>
              </w:rPr>
              <w:t>3.2</w:t>
            </w:r>
            <w:r w:rsidR="00657688" w:rsidRPr="005D10C1">
              <w:rPr>
                <w:rFonts w:ascii="Candara" w:eastAsiaTheme="minorEastAsia" w:hAnsi="Candara" w:cstheme="minorBidi"/>
                <w:noProof/>
                <w:sz w:val="22"/>
                <w:szCs w:val="22"/>
                <w:lang w:eastAsia="es-CO"/>
              </w:rPr>
              <w:tab/>
            </w:r>
            <w:r w:rsidR="00657688" w:rsidRPr="005D10C1">
              <w:rPr>
                <w:rStyle w:val="Hipervnculo"/>
                <w:rFonts w:ascii="Candara" w:hAnsi="Candara"/>
                <w:noProof/>
              </w:rPr>
              <w:t>Revisión de literatura nacional</w:t>
            </w:r>
            <w:r w:rsidR="00657688" w:rsidRPr="005D10C1">
              <w:rPr>
                <w:rFonts w:ascii="Candara" w:hAnsi="Candara"/>
                <w:noProof/>
                <w:webHidden/>
              </w:rPr>
              <w:tab/>
            </w:r>
            <w:r w:rsidR="003B0D24" w:rsidRPr="005D10C1">
              <w:rPr>
                <w:rFonts w:ascii="Candara" w:hAnsi="Candara"/>
                <w:noProof/>
                <w:webHidden/>
              </w:rPr>
              <w:fldChar w:fldCharType="begin"/>
            </w:r>
            <w:r w:rsidR="00657688" w:rsidRPr="005D10C1">
              <w:rPr>
                <w:rFonts w:ascii="Candara" w:hAnsi="Candara"/>
                <w:noProof/>
                <w:webHidden/>
              </w:rPr>
              <w:instrText xml:space="preserve"> PAGEREF _Toc377653158 \h </w:instrText>
            </w:r>
            <w:r w:rsidR="003B0D24" w:rsidRPr="005D10C1">
              <w:rPr>
                <w:rFonts w:ascii="Candara" w:hAnsi="Candara"/>
                <w:noProof/>
                <w:webHidden/>
              </w:rPr>
            </w:r>
            <w:r w:rsidR="003B0D24" w:rsidRPr="005D10C1">
              <w:rPr>
                <w:rFonts w:ascii="Candara" w:hAnsi="Candara"/>
                <w:noProof/>
                <w:webHidden/>
              </w:rPr>
              <w:fldChar w:fldCharType="separate"/>
            </w:r>
            <w:r w:rsidR="005D10C1">
              <w:rPr>
                <w:rFonts w:ascii="Candara" w:hAnsi="Candara"/>
                <w:noProof/>
                <w:webHidden/>
              </w:rPr>
              <w:t>64</w:t>
            </w:r>
            <w:r w:rsidR="003B0D24" w:rsidRPr="005D10C1">
              <w:rPr>
                <w:rFonts w:ascii="Candara" w:hAnsi="Candara"/>
                <w:noProof/>
                <w:webHidden/>
              </w:rPr>
              <w:fldChar w:fldCharType="end"/>
            </w:r>
          </w:hyperlink>
        </w:p>
        <w:p w14:paraId="77AC4CE1" w14:textId="77777777" w:rsidR="00657688" w:rsidRPr="005D10C1" w:rsidRDefault="00DB0C1B">
          <w:pPr>
            <w:pStyle w:val="TDC3"/>
            <w:tabs>
              <w:tab w:val="left" w:pos="1320"/>
              <w:tab w:val="right" w:leader="dot" w:pos="8828"/>
            </w:tabs>
            <w:rPr>
              <w:rFonts w:ascii="Candara" w:eastAsiaTheme="minorEastAsia" w:hAnsi="Candara" w:cstheme="minorBidi"/>
              <w:noProof/>
              <w:sz w:val="22"/>
              <w:szCs w:val="22"/>
              <w:lang w:eastAsia="es-CO"/>
            </w:rPr>
          </w:pPr>
          <w:hyperlink w:anchor="_Toc377653159" w:history="1">
            <w:r w:rsidR="00657688" w:rsidRPr="005D10C1">
              <w:rPr>
                <w:rStyle w:val="Hipervnculo"/>
                <w:rFonts w:ascii="Candara" w:hAnsi="Candara"/>
                <w:i/>
                <w:noProof/>
              </w:rPr>
              <w:t>3.2.1</w:t>
            </w:r>
            <w:r w:rsidR="00657688" w:rsidRPr="005D10C1">
              <w:rPr>
                <w:rFonts w:ascii="Candara" w:eastAsiaTheme="minorEastAsia" w:hAnsi="Candara" w:cstheme="minorBidi"/>
                <w:noProof/>
                <w:sz w:val="22"/>
                <w:szCs w:val="22"/>
                <w:lang w:eastAsia="es-CO"/>
              </w:rPr>
              <w:tab/>
            </w:r>
            <w:r w:rsidR="00657688" w:rsidRPr="005D10C1">
              <w:rPr>
                <w:rStyle w:val="Hipervnculo"/>
                <w:rFonts w:ascii="Candara" w:hAnsi="Candara"/>
                <w:i/>
                <w:noProof/>
              </w:rPr>
              <w:t>Universidad de Antioquia- UdeA</w:t>
            </w:r>
            <w:r w:rsidR="00657688" w:rsidRPr="005D10C1">
              <w:rPr>
                <w:rFonts w:ascii="Candara" w:hAnsi="Candara"/>
                <w:noProof/>
                <w:webHidden/>
              </w:rPr>
              <w:tab/>
            </w:r>
            <w:r w:rsidR="003B0D24" w:rsidRPr="005D10C1">
              <w:rPr>
                <w:rFonts w:ascii="Candara" w:hAnsi="Candara"/>
                <w:noProof/>
                <w:webHidden/>
              </w:rPr>
              <w:fldChar w:fldCharType="begin"/>
            </w:r>
            <w:r w:rsidR="00657688" w:rsidRPr="005D10C1">
              <w:rPr>
                <w:rFonts w:ascii="Candara" w:hAnsi="Candara"/>
                <w:noProof/>
                <w:webHidden/>
              </w:rPr>
              <w:instrText xml:space="preserve"> PAGEREF _Toc377653159 \h </w:instrText>
            </w:r>
            <w:r w:rsidR="003B0D24" w:rsidRPr="005D10C1">
              <w:rPr>
                <w:rFonts w:ascii="Candara" w:hAnsi="Candara"/>
                <w:noProof/>
                <w:webHidden/>
              </w:rPr>
            </w:r>
            <w:r w:rsidR="003B0D24" w:rsidRPr="005D10C1">
              <w:rPr>
                <w:rFonts w:ascii="Candara" w:hAnsi="Candara"/>
                <w:noProof/>
                <w:webHidden/>
              </w:rPr>
              <w:fldChar w:fldCharType="separate"/>
            </w:r>
            <w:r w:rsidR="005D10C1">
              <w:rPr>
                <w:rFonts w:ascii="Candara" w:hAnsi="Candara"/>
                <w:noProof/>
                <w:webHidden/>
              </w:rPr>
              <w:t>64</w:t>
            </w:r>
            <w:r w:rsidR="003B0D24" w:rsidRPr="005D10C1">
              <w:rPr>
                <w:rFonts w:ascii="Candara" w:hAnsi="Candara"/>
                <w:noProof/>
                <w:webHidden/>
              </w:rPr>
              <w:fldChar w:fldCharType="end"/>
            </w:r>
          </w:hyperlink>
        </w:p>
        <w:p w14:paraId="280E56F1" w14:textId="77777777" w:rsidR="00657688" w:rsidRPr="005D10C1" w:rsidRDefault="00DB0C1B">
          <w:pPr>
            <w:pStyle w:val="TDC3"/>
            <w:tabs>
              <w:tab w:val="left" w:pos="1320"/>
              <w:tab w:val="right" w:leader="dot" w:pos="8828"/>
            </w:tabs>
            <w:rPr>
              <w:rFonts w:ascii="Candara" w:eastAsiaTheme="minorEastAsia" w:hAnsi="Candara" w:cstheme="minorBidi"/>
              <w:noProof/>
              <w:sz w:val="22"/>
              <w:szCs w:val="22"/>
              <w:lang w:eastAsia="es-CO"/>
            </w:rPr>
          </w:pPr>
          <w:hyperlink w:anchor="_Toc377653160" w:history="1">
            <w:r w:rsidR="00657688" w:rsidRPr="005D10C1">
              <w:rPr>
                <w:rStyle w:val="Hipervnculo"/>
                <w:rFonts w:ascii="Candara" w:hAnsi="Candara"/>
                <w:i/>
                <w:noProof/>
              </w:rPr>
              <w:t>3.2.2</w:t>
            </w:r>
            <w:r w:rsidR="00657688" w:rsidRPr="005D10C1">
              <w:rPr>
                <w:rFonts w:ascii="Candara" w:eastAsiaTheme="minorEastAsia" w:hAnsi="Candara" w:cstheme="minorBidi"/>
                <w:noProof/>
                <w:sz w:val="22"/>
                <w:szCs w:val="22"/>
                <w:lang w:eastAsia="es-CO"/>
              </w:rPr>
              <w:tab/>
            </w:r>
            <w:r w:rsidR="00657688" w:rsidRPr="005D10C1">
              <w:rPr>
                <w:rStyle w:val="Hipervnculo"/>
                <w:rFonts w:ascii="Candara" w:hAnsi="Candara"/>
                <w:i/>
                <w:noProof/>
              </w:rPr>
              <w:t>Universidad Nacional</w:t>
            </w:r>
            <w:r w:rsidR="00657688" w:rsidRPr="005D10C1">
              <w:rPr>
                <w:rFonts w:ascii="Candara" w:hAnsi="Candara"/>
                <w:noProof/>
                <w:webHidden/>
              </w:rPr>
              <w:tab/>
            </w:r>
            <w:r w:rsidR="003B0D24" w:rsidRPr="005D10C1">
              <w:rPr>
                <w:rFonts w:ascii="Candara" w:hAnsi="Candara"/>
                <w:noProof/>
                <w:webHidden/>
              </w:rPr>
              <w:fldChar w:fldCharType="begin"/>
            </w:r>
            <w:r w:rsidR="00657688" w:rsidRPr="005D10C1">
              <w:rPr>
                <w:rFonts w:ascii="Candara" w:hAnsi="Candara"/>
                <w:noProof/>
                <w:webHidden/>
              </w:rPr>
              <w:instrText xml:space="preserve"> PAGEREF _Toc377653160 \h </w:instrText>
            </w:r>
            <w:r w:rsidR="003B0D24" w:rsidRPr="005D10C1">
              <w:rPr>
                <w:rFonts w:ascii="Candara" w:hAnsi="Candara"/>
                <w:noProof/>
                <w:webHidden/>
              </w:rPr>
            </w:r>
            <w:r w:rsidR="003B0D24" w:rsidRPr="005D10C1">
              <w:rPr>
                <w:rFonts w:ascii="Candara" w:hAnsi="Candara"/>
                <w:noProof/>
                <w:webHidden/>
              </w:rPr>
              <w:fldChar w:fldCharType="separate"/>
            </w:r>
            <w:r w:rsidR="005D10C1">
              <w:rPr>
                <w:rFonts w:ascii="Candara" w:hAnsi="Candara"/>
                <w:noProof/>
                <w:webHidden/>
              </w:rPr>
              <w:t>69</w:t>
            </w:r>
            <w:r w:rsidR="003B0D24" w:rsidRPr="005D10C1">
              <w:rPr>
                <w:rFonts w:ascii="Candara" w:hAnsi="Candara"/>
                <w:noProof/>
                <w:webHidden/>
              </w:rPr>
              <w:fldChar w:fldCharType="end"/>
            </w:r>
          </w:hyperlink>
        </w:p>
        <w:p w14:paraId="492A1120" w14:textId="77777777" w:rsidR="00657688" w:rsidRPr="005D10C1" w:rsidRDefault="00DB0C1B">
          <w:pPr>
            <w:pStyle w:val="TDC3"/>
            <w:tabs>
              <w:tab w:val="left" w:pos="1320"/>
              <w:tab w:val="right" w:leader="dot" w:pos="8828"/>
            </w:tabs>
            <w:rPr>
              <w:rFonts w:ascii="Candara" w:eastAsiaTheme="minorEastAsia" w:hAnsi="Candara" w:cstheme="minorBidi"/>
              <w:noProof/>
              <w:sz w:val="22"/>
              <w:szCs w:val="22"/>
              <w:lang w:eastAsia="es-CO"/>
            </w:rPr>
          </w:pPr>
          <w:hyperlink w:anchor="_Toc377653161" w:history="1">
            <w:r w:rsidR="00657688" w:rsidRPr="005D10C1">
              <w:rPr>
                <w:rStyle w:val="Hipervnculo"/>
                <w:rFonts w:ascii="Candara" w:hAnsi="Candara"/>
                <w:i/>
                <w:noProof/>
              </w:rPr>
              <w:t>3.2.3</w:t>
            </w:r>
            <w:r w:rsidR="00657688" w:rsidRPr="005D10C1">
              <w:rPr>
                <w:rFonts w:ascii="Candara" w:eastAsiaTheme="minorEastAsia" w:hAnsi="Candara" w:cstheme="minorBidi"/>
                <w:noProof/>
                <w:sz w:val="22"/>
                <w:szCs w:val="22"/>
                <w:lang w:eastAsia="es-CO"/>
              </w:rPr>
              <w:tab/>
            </w:r>
            <w:r w:rsidR="00657688" w:rsidRPr="005D10C1">
              <w:rPr>
                <w:rStyle w:val="Hipervnculo"/>
                <w:rFonts w:ascii="Candara" w:hAnsi="Candara"/>
                <w:i/>
                <w:noProof/>
              </w:rPr>
              <w:t>Universidad Industrial del Santander- UIS</w:t>
            </w:r>
            <w:r w:rsidR="00657688" w:rsidRPr="005D10C1">
              <w:rPr>
                <w:rFonts w:ascii="Candara" w:hAnsi="Candara"/>
                <w:noProof/>
                <w:webHidden/>
              </w:rPr>
              <w:tab/>
            </w:r>
            <w:r w:rsidR="003B0D24" w:rsidRPr="005D10C1">
              <w:rPr>
                <w:rFonts w:ascii="Candara" w:hAnsi="Candara"/>
                <w:noProof/>
                <w:webHidden/>
              </w:rPr>
              <w:fldChar w:fldCharType="begin"/>
            </w:r>
            <w:r w:rsidR="00657688" w:rsidRPr="005D10C1">
              <w:rPr>
                <w:rFonts w:ascii="Candara" w:hAnsi="Candara"/>
                <w:noProof/>
                <w:webHidden/>
              </w:rPr>
              <w:instrText xml:space="preserve"> PAGEREF _Toc377653161 \h </w:instrText>
            </w:r>
            <w:r w:rsidR="003B0D24" w:rsidRPr="005D10C1">
              <w:rPr>
                <w:rFonts w:ascii="Candara" w:hAnsi="Candara"/>
                <w:noProof/>
                <w:webHidden/>
              </w:rPr>
            </w:r>
            <w:r w:rsidR="003B0D24" w:rsidRPr="005D10C1">
              <w:rPr>
                <w:rFonts w:ascii="Candara" w:hAnsi="Candara"/>
                <w:noProof/>
                <w:webHidden/>
              </w:rPr>
              <w:fldChar w:fldCharType="separate"/>
            </w:r>
            <w:r w:rsidR="005D10C1">
              <w:rPr>
                <w:rFonts w:ascii="Candara" w:hAnsi="Candara"/>
                <w:noProof/>
                <w:webHidden/>
              </w:rPr>
              <w:t>72</w:t>
            </w:r>
            <w:r w:rsidR="003B0D24" w:rsidRPr="005D10C1">
              <w:rPr>
                <w:rFonts w:ascii="Candara" w:hAnsi="Candara"/>
                <w:noProof/>
                <w:webHidden/>
              </w:rPr>
              <w:fldChar w:fldCharType="end"/>
            </w:r>
          </w:hyperlink>
        </w:p>
        <w:p w14:paraId="6DDFCD97" w14:textId="77777777" w:rsidR="00657688" w:rsidRPr="005D10C1" w:rsidRDefault="00DB0C1B">
          <w:pPr>
            <w:pStyle w:val="TDC3"/>
            <w:tabs>
              <w:tab w:val="left" w:pos="1320"/>
              <w:tab w:val="right" w:leader="dot" w:pos="8828"/>
            </w:tabs>
            <w:rPr>
              <w:rFonts w:ascii="Candara" w:eastAsiaTheme="minorEastAsia" w:hAnsi="Candara" w:cstheme="minorBidi"/>
              <w:noProof/>
              <w:sz w:val="22"/>
              <w:szCs w:val="22"/>
              <w:lang w:eastAsia="es-CO"/>
            </w:rPr>
          </w:pPr>
          <w:hyperlink w:anchor="_Toc377653162" w:history="1">
            <w:r w:rsidR="00657688" w:rsidRPr="005D10C1">
              <w:rPr>
                <w:rStyle w:val="Hipervnculo"/>
                <w:rFonts w:ascii="Candara" w:hAnsi="Candara"/>
                <w:i/>
                <w:noProof/>
              </w:rPr>
              <w:t>3.2.4</w:t>
            </w:r>
            <w:r w:rsidR="00657688" w:rsidRPr="005D10C1">
              <w:rPr>
                <w:rFonts w:ascii="Candara" w:eastAsiaTheme="minorEastAsia" w:hAnsi="Candara" w:cstheme="minorBidi"/>
                <w:noProof/>
                <w:sz w:val="22"/>
                <w:szCs w:val="22"/>
                <w:lang w:eastAsia="es-CO"/>
              </w:rPr>
              <w:tab/>
            </w:r>
            <w:r w:rsidR="00657688" w:rsidRPr="005D10C1">
              <w:rPr>
                <w:rStyle w:val="Hipervnculo"/>
                <w:rFonts w:ascii="Candara" w:hAnsi="Candara"/>
                <w:i/>
                <w:noProof/>
              </w:rPr>
              <w:t>Universidad del Valle</w:t>
            </w:r>
            <w:r w:rsidR="00657688" w:rsidRPr="005D10C1">
              <w:rPr>
                <w:rFonts w:ascii="Candara" w:hAnsi="Candara"/>
                <w:noProof/>
                <w:webHidden/>
              </w:rPr>
              <w:tab/>
            </w:r>
            <w:r w:rsidR="003B0D24" w:rsidRPr="005D10C1">
              <w:rPr>
                <w:rFonts w:ascii="Candara" w:hAnsi="Candara"/>
                <w:noProof/>
                <w:webHidden/>
              </w:rPr>
              <w:fldChar w:fldCharType="begin"/>
            </w:r>
            <w:r w:rsidR="00657688" w:rsidRPr="005D10C1">
              <w:rPr>
                <w:rFonts w:ascii="Candara" w:hAnsi="Candara"/>
                <w:noProof/>
                <w:webHidden/>
              </w:rPr>
              <w:instrText xml:space="preserve"> PAGEREF _Toc377653162 \h </w:instrText>
            </w:r>
            <w:r w:rsidR="003B0D24" w:rsidRPr="005D10C1">
              <w:rPr>
                <w:rFonts w:ascii="Candara" w:hAnsi="Candara"/>
                <w:noProof/>
                <w:webHidden/>
              </w:rPr>
            </w:r>
            <w:r w:rsidR="003B0D24" w:rsidRPr="005D10C1">
              <w:rPr>
                <w:rFonts w:ascii="Candara" w:hAnsi="Candara"/>
                <w:noProof/>
                <w:webHidden/>
              </w:rPr>
              <w:fldChar w:fldCharType="separate"/>
            </w:r>
            <w:r w:rsidR="005D10C1">
              <w:rPr>
                <w:rFonts w:ascii="Candara" w:hAnsi="Candara"/>
                <w:noProof/>
                <w:webHidden/>
              </w:rPr>
              <w:t>74</w:t>
            </w:r>
            <w:r w:rsidR="003B0D24" w:rsidRPr="005D10C1">
              <w:rPr>
                <w:rFonts w:ascii="Candara" w:hAnsi="Candara"/>
                <w:noProof/>
                <w:webHidden/>
              </w:rPr>
              <w:fldChar w:fldCharType="end"/>
            </w:r>
          </w:hyperlink>
        </w:p>
        <w:p w14:paraId="3DDF194F" w14:textId="77777777" w:rsidR="00657688" w:rsidRPr="005D10C1" w:rsidRDefault="00DB0C1B">
          <w:pPr>
            <w:pStyle w:val="TDC1"/>
            <w:tabs>
              <w:tab w:val="left" w:pos="480"/>
              <w:tab w:val="right" w:leader="dot" w:pos="8828"/>
            </w:tabs>
            <w:rPr>
              <w:rFonts w:ascii="Candara" w:eastAsiaTheme="minorEastAsia" w:hAnsi="Candara" w:cstheme="minorBidi"/>
              <w:noProof/>
              <w:sz w:val="22"/>
              <w:szCs w:val="22"/>
              <w:lang w:eastAsia="es-CO"/>
            </w:rPr>
          </w:pPr>
          <w:hyperlink w:anchor="_Toc377653163" w:history="1">
            <w:r w:rsidR="00657688" w:rsidRPr="005D10C1">
              <w:rPr>
                <w:rStyle w:val="Hipervnculo"/>
                <w:rFonts w:ascii="Candara" w:hAnsi="Candara"/>
                <w:noProof/>
              </w:rPr>
              <w:t>4</w:t>
            </w:r>
            <w:r w:rsidR="00657688" w:rsidRPr="005D10C1">
              <w:rPr>
                <w:rFonts w:ascii="Candara" w:eastAsiaTheme="minorEastAsia" w:hAnsi="Candara" w:cstheme="minorBidi"/>
                <w:noProof/>
                <w:sz w:val="22"/>
                <w:szCs w:val="22"/>
                <w:lang w:eastAsia="es-CO"/>
              </w:rPr>
              <w:tab/>
            </w:r>
            <w:r w:rsidR="00657688" w:rsidRPr="005D10C1">
              <w:rPr>
                <w:rStyle w:val="Hipervnculo"/>
                <w:rFonts w:ascii="Candara" w:hAnsi="Candara"/>
                <w:noProof/>
              </w:rPr>
              <w:t>Conclusiones</w:t>
            </w:r>
            <w:r w:rsidR="00657688" w:rsidRPr="005D10C1">
              <w:rPr>
                <w:rFonts w:ascii="Candara" w:hAnsi="Candara"/>
                <w:noProof/>
                <w:webHidden/>
              </w:rPr>
              <w:tab/>
            </w:r>
            <w:r w:rsidR="003B0D24" w:rsidRPr="005D10C1">
              <w:rPr>
                <w:rFonts w:ascii="Candara" w:hAnsi="Candara"/>
                <w:noProof/>
                <w:webHidden/>
              </w:rPr>
              <w:fldChar w:fldCharType="begin"/>
            </w:r>
            <w:r w:rsidR="00657688" w:rsidRPr="005D10C1">
              <w:rPr>
                <w:rFonts w:ascii="Candara" w:hAnsi="Candara"/>
                <w:noProof/>
                <w:webHidden/>
              </w:rPr>
              <w:instrText xml:space="preserve"> PAGEREF _Toc377653163 \h </w:instrText>
            </w:r>
            <w:r w:rsidR="003B0D24" w:rsidRPr="005D10C1">
              <w:rPr>
                <w:rFonts w:ascii="Candara" w:hAnsi="Candara"/>
                <w:noProof/>
                <w:webHidden/>
              </w:rPr>
            </w:r>
            <w:r w:rsidR="003B0D24" w:rsidRPr="005D10C1">
              <w:rPr>
                <w:rFonts w:ascii="Candara" w:hAnsi="Candara"/>
                <w:noProof/>
                <w:webHidden/>
              </w:rPr>
              <w:fldChar w:fldCharType="separate"/>
            </w:r>
            <w:r w:rsidR="005D10C1">
              <w:rPr>
                <w:rFonts w:ascii="Candara" w:hAnsi="Candara"/>
                <w:noProof/>
                <w:webHidden/>
              </w:rPr>
              <w:t>75</w:t>
            </w:r>
            <w:r w:rsidR="003B0D24" w:rsidRPr="005D10C1">
              <w:rPr>
                <w:rFonts w:ascii="Candara" w:hAnsi="Candara"/>
                <w:noProof/>
                <w:webHidden/>
              </w:rPr>
              <w:fldChar w:fldCharType="end"/>
            </w:r>
          </w:hyperlink>
        </w:p>
        <w:p w14:paraId="32DAC47E" w14:textId="77777777" w:rsidR="00657688" w:rsidRPr="005D10C1" w:rsidRDefault="00DB0C1B">
          <w:pPr>
            <w:pStyle w:val="TDC1"/>
            <w:tabs>
              <w:tab w:val="left" w:pos="480"/>
              <w:tab w:val="right" w:leader="dot" w:pos="8828"/>
            </w:tabs>
            <w:rPr>
              <w:rFonts w:ascii="Candara" w:eastAsiaTheme="minorEastAsia" w:hAnsi="Candara" w:cstheme="minorBidi"/>
              <w:noProof/>
              <w:sz w:val="22"/>
              <w:szCs w:val="22"/>
              <w:lang w:eastAsia="es-CO"/>
            </w:rPr>
          </w:pPr>
          <w:hyperlink w:anchor="_Toc377653164" w:history="1">
            <w:r w:rsidR="00657688" w:rsidRPr="005D10C1">
              <w:rPr>
                <w:rStyle w:val="Hipervnculo"/>
                <w:rFonts w:ascii="Candara" w:hAnsi="Candara"/>
                <w:noProof/>
              </w:rPr>
              <w:t>5</w:t>
            </w:r>
            <w:r w:rsidR="00657688" w:rsidRPr="005D10C1">
              <w:rPr>
                <w:rFonts w:ascii="Candara" w:eastAsiaTheme="minorEastAsia" w:hAnsi="Candara" w:cstheme="minorBidi"/>
                <w:noProof/>
                <w:sz w:val="22"/>
                <w:szCs w:val="22"/>
                <w:lang w:eastAsia="es-CO"/>
              </w:rPr>
              <w:tab/>
            </w:r>
            <w:r w:rsidR="00657688" w:rsidRPr="005D10C1">
              <w:rPr>
                <w:rStyle w:val="Hipervnculo"/>
                <w:rFonts w:ascii="Candara" w:hAnsi="Candara"/>
                <w:noProof/>
              </w:rPr>
              <w:t>Referencias Bibliográficas</w:t>
            </w:r>
            <w:r w:rsidR="00657688" w:rsidRPr="005D10C1">
              <w:rPr>
                <w:rFonts w:ascii="Candara" w:hAnsi="Candara"/>
                <w:noProof/>
                <w:webHidden/>
              </w:rPr>
              <w:tab/>
            </w:r>
            <w:r w:rsidR="003B0D24" w:rsidRPr="005D10C1">
              <w:rPr>
                <w:rFonts w:ascii="Candara" w:hAnsi="Candara"/>
                <w:noProof/>
                <w:webHidden/>
              </w:rPr>
              <w:fldChar w:fldCharType="begin"/>
            </w:r>
            <w:r w:rsidR="00657688" w:rsidRPr="005D10C1">
              <w:rPr>
                <w:rFonts w:ascii="Candara" w:hAnsi="Candara"/>
                <w:noProof/>
                <w:webHidden/>
              </w:rPr>
              <w:instrText xml:space="preserve"> PAGEREF _Toc377653164 \h </w:instrText>
            </w:r>
            <w:r w:rsidR="003B0D24" w:rsidRPr="005D10C1">
              <w:rPr>
                <w:rFonts w:ascii="Candara" w:hAnsi="Candara"/>
                <w:noProof/>
                <w:webHidden/>
              </w:rPr>
            </w:r>
            <w:r w:rsidR="003B0D24" w:rsidRPr="005D10C1">
              <w:rPr>
                <w:rFonts w:ascii="Candara" w:hAnsi="Candara"/>
                <w:noProof/>
                <w:webHidden/>
              </w:rPr>
              <w:fldChar w:fldCharType="separate"/>
            </w:r>
            <w:r w:rsidR="005D10C1">
              <w:rPr>
                <w:rFonts w:ascii="Candara" w:hAnsi="Candara"/>
                <w:noProof/>
                <w:webHidden/>
              </w:rPr>
              <w:t>78</w:t>
            </w:r>
            <w:r w:rsidR="003B0D24" w:rsidRPr="005D10C1">
              <w:rPr>
                <w:rFonts w:ascii="Candara" w:hAnsi="Candara"/>
                <w:noProof/>
                <w:webHidden/>
              </w:rPr>
              <w:fldChar w:fldCharType="end"/>
            </w:r>
          </w:hyperlink>
        </w:p>
        <w:p w14:paraId="0DB0D29E" w14:textId="77777777" w:rsidR="006A76C6" w:rsidRPr="005D10C1" w:rsidRDefault="003B0D24">
          <w:pPr>
            <w:rPr>
              <w:rFonts w:ascii="Candara" w:hAnsi="Candara"/>
            </w:rPr>
          </w:pPr>
          <w:r w:rsidRPr="005D10C1">
            <w:rPr>
              <w:rFonts w:ascii="Candara" w:hAnsi="Candara"/>
              <w:b/>
              <w:bCs/>
            </w:rPr>
            <w:fldChar w:fldCharType="end"/>
          </w:r>
        </w:p>
      </w:sdtContent>
    </w:sdt>
    <w:p w14:paraId="538CBDC1" w14:textId="77777777" w:rsidR="006A76C6" w:rsidRPr="005D10C1" w:rsidRDefault="006A76C6">
      <w:pPr>
        <w:rPr>
          <w:rFonts w:ascii="Candara" w:eastAsiaTheme="majorEastAsia" w:hAnsi="Candara" w:cstheme="majorBidi"/>
          <w:b/>
          <w:bCs/>
          <w:sz w:val="28"/>
          <w:szCs w:val="28"/>
        </w:rPr>
      </w:pPr>
    </w:p>
    <w:p w14:paraId="59588475" w14:textId="77777777" w:rsidR="006F0A0E" w:rsidRPr="005D10C1" w:rsidRDefault="006F0A0E">
      <w:pPr>
        <w:pStyle w:val="Tabladeilustraciones"/>
        <w:tabs>
          <w:tab w:val="right" w:leader="dot" w:pos="8828"/>
        </w:tabs>
        <w:rPr>
          <w:rFonts w:ascii="Candara" w:eastAsiaTheme="majorEastAsia" w:hAnsi="Candara" w:cstheme="majorBidi"/>
          <w:b/>
          <w:bCs/>
          <w:sz w:val="28"/>
          <w:szCs w:val="28"/>
        </w:rPr>
      </w:pPr>
    </w:p>
    <w:p w14:paraId="33DE5332" w14:textId="77777777" w:rsidR="006F0A0E" w:rsidRPr="005D10C1" w:rsidRDefault="006F0A0E">
      <w:pPr>
        <w:pStyle w:val="Tabladeilustraciones"/>
        <w:tabs>
          <w:tab w:val="right" w:leader="dot" w:pos="8828"/>
        </w:tabs>
        <w:rPr>
          <w:rFonts w:ascii="Candara" w:eastAsiaTheme="majorEastAsia" w:hAnsi="Candara" w:cstheme="majorBidi"/>
          <w:b/>
          <w:bCs/>
          <w:sz w:val="28"/>
          <w:szCs w:val="28"/>
        </w:rPr>
      </w:pPr>
    </w:p>
    <w:p w14:paraId="732A8512" w14:textId="77777777" w:rsidR="006F0A0E" w:rsidRPr="005D10C1" w:rsidRDefault="006F0A0E" w:rsidP="006F0A0E">
      <w:pPr>
        <w:rPr>
          <w:rFonts w:ascii="Candara" w:hAnsi="Candara"/>
          <w:b/>
        </w:rPr>
      </w:pPr>
      <w:r w:rsidRPr="005D10C1">
        <w:rPr>
          <w:rFonts w:ascii="Candara" w:hAnsi="Candara"/>
          <w:b/>
        </w:rPr>
        <w:t>Tabla de ilustraciones</w:t>
      </w:r>
    </w:p>
    <w:p w14:paraId="413FF08F" w14:textId="77777777" w:rsidR="00931976" w:rsidRPr="005D10C1" w:rsidRDefault="00931976" w:rsidP="006F0A0E">
      <w:pPr>
        <w:rPr>
          <w:rFonts w:ascii="Candara" w:hAnsi="Candara"/>
        </w:rPr>
      </w:pPr>
    </w:p>
    <w:p w14:paraId="4CFC82E1" w14:textId="77777777" w:rsidR="00D404AC" w:rsidRPr="005D10C1" w:rsidRDefault="003B0D24">
      <w:pPr>
        <w:pStyle w:val="Tabladeilustraciones"/>
        <w:tabs>
          <w:tab w:val="right" w:leader="dot" w:pos="8828"/>
        </w:tabs>
        <w:rPr>
          <w:rFonts w:ascii="Candara" w:eastAsiaTheme="minorEastAsia" w:hAnsi="Candara" w:cstheme="minorBidi"/>
          <w:noProof/>
          <w:sz w:val="22"/>
          <w:szCs w:val="22"/>
          <w:lang w:eastAsia="es-CO"/>
        </w:rPr>
      </w:pPr>
      <w:r w:rsidRPr="005D10C1">
        <w:rPr>
          <w:rFonts w:ascii="Candara" w:hAnsi="Candara"/>
        </w:rPr>
        <w:fldChar w:fldCharType="begin"/>
      </w:r>
      <w:r w:rsidR="00931976" w:rsidRPr="005D10C1">
        <w:rPr>
          <w:rFonts w:ascii="Candara" w:hAnsi="Candara"/>
        </w:rPr>
        <w:instrText xml:space="preserve"> TOC \h \z \c "Ilustración" </w:instrText>
      </w:r>
      <w:r w:rsidRPr="005D10C1">
        <w:rPr>
          <w:rFonts w:ascii="Candara" w:hAnsi="Candara"/>
        </w:rPr>
        <w:fldChar w:fldCharType="separate"/>
      </w:r>
      <w:hyperlink w:anchor="_Toc377652592" w:history="1">
        <w:r w:rsidR="00D404AC" w:rsidRPr="005D10C1">
          <w:rPr>
            <w:rStyle w:val="Hipervnculo"/>
            <w:rFonts w:ascii="Candara" w:hAnsi="Candara"/>
            <w:noProof/>
          </w:rPr>
          <w:t>Ilustración 1: Número de Spin-Off creadas en Estados Unidos</w:t>
        </w:r>
        <w:r w:rsidR="00D404AC" w:rsidRPr="005D10C1">
          <w:rPr>
            <w:rFonts w:ascii="Candara" w:hAnsi="Candara"/>
            <w:noProof/>
            <w:webHidden/>
          </w:rPr>
          <w:tab/>
        </w:r>
        <w:r w:rsidRPr="005D10C1">
          <w:rPr>
            <w:rFonts w:ascii="Candara" w:hAnsi="Candara"/>
            <w:noProof/>
            <w:webHidden/>
          </w:rPr>
          <w:fldChar w:fldCharType="begin"/>
        </w:r>
        <w:r w:rsidR="00D404AC" w:rsidRPr="005D10C1">
          <w:rPr>
            <w:rFonts w:ascii="Candara" w:hAnsi="Candara"/>
            <w:noProof/>
            <w:webHidden/>
          </w:rPr>
          <w:instrText xml:space="preserve"> PAGEREF _Toc377652592 \h </w:instrText>
        </w:r>
        <w:r w:rsidRPr="005D10C1">
          <w:rPr>
            <w:rFonts w:ascii="Candara" w:hAnsi="Candara"/>
            <w:noProof/>
            <w:webHidden/>
          </w:rPr>
        </w:r>
        <w:r w:rsidRPr="005D10C1">
          <w:rPr>
            <w:rFonts w:ascii="Candara" w:hAnsi="Candara"/>
            <w:noProof/>
            <w:webHidden/>
          </w:rPr>
          <w:fldChar w:fldCharType="separate"/>
        </w:r>
        <w:r w:rsidR="005D10C1">
          <w:rPr>
            <w:rFonts w:ascii="Candara" w:hAnsi="Candara"/>
            <w:noProof/>
            <w:webHidden/>
          </w:rPr>
          <w:t>18</w:t>
        </w:r>
        <w:r w:rsidRPr="005D10C1">
          <w:rPr>
            <w:rFonts w:ascii="Candara" w:hAnsi="Candara"/>
            <w:noProof/>
            <w:webHidden/>
          </w:rPr>
          <w:fldChar w:fldCharType="end"/>
        </w:r>
      </w:hyperlink>
    </w:p>
    <w:p w14:paraId="0E35BEEB" w14:textId="77777777" w:rsidR="00D404AC" w:rsidRPr="005D10C1" w:rsidRDefault="00DB0C1B">
      <w:pPr>
        <w:pStyle w:val="Tabladeilustraciones"/>
        <w:tabs>
          <w:tab w:val="right" w:leader="dot" w:pos="8828"/>
        </w:tabs>
        <w:rPr>
          <w:rFonts w:ascii="Candara" w:eastAsiaTheme="minorEastAsia" w:hAnsi="Candara" w:cstheme="minorBidi"/>
          <w:noProof/>
          <w:sz w:val="22"/>
          <w:szCs w:val="22"/>
          <w:lang w:eastAsia="es-CO"/>
        </w:rPr>
      </w:pPr>
      <w:hyperlink w:anchor="_Toc377652593" w:history="1">
        <w:r w:rsidR="00D404AC" w:rsidRPr="005D10C1">
          <w:rPr>
            <w:rStyle w:val="Hipervnculo"/>
            <w:rFonts w:ascii="Candara" w:hAnsi="Candara"/>
            <w:noProof/>
          </w:rPr>
          <w:t>Ilustración 2: Sistema nacional de innovación de EEUU</w:t>
        </w:r>
        <w:r w:rsidR="00D404AC" w:rsidRPr="005D10C1">
          <w:rPr>
            <w:rFonts w:ascii="Candara" w:hAnsi="Candara"/>
            <w:noProof/>
            <w:webHidden/>
          </w:rPr>
          <w:tab/>
        </w:r>
        <w:r w:rsidR="003B0D24" w:rsidRPr="005D10C1">
          <w:rPr>
            <w:rFonts w:ascii="Candara" w:hAnsi="Candara"/>
            <w:noProof/>
            <w:webHidden/>
          </w:rPr>
          <w:fldChar w:fldCharType="begin"/>
        </w:r>
        <w:r w:rsidR="00D404AC" w:rsidRPr="005D10C1">
          <w:rPr>
            <w:rFonts w:ascii="Candara" w:hAnsi="Candara"/>
            <w:noProof/>
            <w:webHidden/>
          </w:rPr>
          <w:instrText xml:space="preserve"> PAGEREF _Toc377652593 \h </w:instrText>
        </w:r>
        <w:r w:rsidR="003B0D24" w:rsidRPr="005D10C1">
          <w:rPr>
            <w:rFonts w:ascii="Candara" w:hAnsi="Candara"/>
            <w:noProof/>
            <w:webHidden/>
          </w:rPr>
        </w:r>
        <w:r w:rsidR="003B0D24" w:rsidRPr="005D10C1">
          <w:rPr>
            <w:rFonts w:ascii="Candara" w:hAnsi="Candara"/>
            <w:noProof/>
            <w:webHidden/>
          </w:rPr>
          <w:fldChar w:fldCharType="separate"/>
        </w:r>
        <w:r w:rsidR="005D10C1">
          <w:rPr>
            <w:rFonts w:ascii="Candara" w:hAnsi="Candara"/>
            <w:noProof/>
            <w:webHidden/>
          </w:rPr>
          <w:t>24</w:t>
        </w:r>
        <w:r w:rsidR="003B0D24" w:rsidRPr="005D10C1">
          <w:rPr>
            <w:rFonts w:ascii="Candara" w:hAnsi="Candara"/>
            <w:noProof/>
            <w:webHidden/>
          </w:rPr>
          <w:fldChar w:fldCharType="end"/>
        </w:r>
      </w:hyperlink>
    </w:p>
    <w:p w14:paraId="3EE9F44B" w14:textId="77777777" w:rsidR="00D404AC" w:rsidRPr="005D10C1" w:rsidRDefault="00DB0C1B">
      <w:pPr>
        <w:pStyle w:val="Tabladeilustraciones"/>
        <w:tabs>
          <w:tab w:val="right" w:leader="dot" w:pos="8828"/>
        </w:tabs>
        <w:rPr>
          <w:rFonts w:ascii="Candara" w:eastAsiaTheme="minorEastAsia" w:hAnsi="Candara" w:cstheme="minorBidi"/>
          <w:noProof/>
          <w:sz w:val="22"/>
          <w:szCs w:val="22"/>
          <w:lang w:eastAsia="es-CO"/>
        </w:rPr>
      </w:pPr>
      <w:hyperlink w:anchor="_Toc377652594" w:history="1">
        <w:r w:rsidR="00D404AC" w:rsidRPr="005D10C1">
          <w:rPr>
            <w:rStyle w:val="Hipervnculo"/>
            <w:rFonts w:ascii="Candara" w:hAnsi="Candara" w:cstheme="minorHAnsi"/>
            <w:noProof/>
          </w:rPr>
          <w:t>Ilustración 3: Gasto de I+D en EEUU</w:t>
        </w:r>
        <w:r w:rsidR="00D404AC" w:rsidRPr="005D10C1">
          <w:rPr>
            <w:rFonts w:ascii="Candara" w:hAnsi="Candara"/>
            <w:noProof/>
            <w:webHidden/>
          </w:rPr>
          <w:tab/>
        </w:r>
        <w:r w:rsidR="003B0D24" w:rsidRPr="005D10C1">
          <w:rPr>
            <w:rFonts w:ascii="Candara" w:hAnsi="Candara"/>
            <w:noProof/>
            <w:webHidden/>
          </w:rPr>
          <w:fldChar w:fldCharType="begin"/>
        </w:r>
        <w:r w:rsidR="00D404AC" w:rsidRPr="005D10C1">
          <w:rPr>
            <w:rFonts w:ascii="Candara" w:hAnsi="Candara"/>
            <w:noProof/>
            <w:webHidden/>
          </w:rPr>
          <w:instrText xml:space="preserve"> PAGEREF _Toc377652594 \h </w:instrText>
        </w:r>
        <w:r w:rsidR="003B0D24" w:rsidRPr="005D10C1">
          <w:rPr>
            <w:rFonts w:ascii="Candara" w:hAnsi="Candara"/>
            <w:noProof/>
            <w:webHidden/>
          </w:rPr>
        </w:r>
        <w:r w:rsidR="003B0D24" w:rsidRPr="005D10C1">
          <w:rPr>
            <w:rFonts w:ascii="Candara" w:hAnsi="Candara"/>
            <w:noProof/>
            <w:webHidden/>
          </w:rPr>
          <w:fldChar w:fldCharType="separate"/>
        </w:r>
        <w:r w:rsidR="005D10C1">
          <w:rPr>
            <w:rFonts w:ascii="Candara" w:hAnsi="Candara"/>
            <w:noProof/>
            <w:webHidden/>
          </w:rPr>
          <w:t>25</w:t>
        </w:r>
        <w:r w:rsidR="003B0D24" w:rsidRPr="005D10C1">
          <w:rPr>
            <w:rFonts w:ascii="Candara" w:hAnsi="Candara"/>
            <w:noProof/>
            <w:webHidden/>
          </w:rPr>
          <w:fldChar w:fldCharType="end"/>
        </w:r>
      </w:hyperlink>
    </w:p>
    <w:p w14:paraId="304DC08E" w14:textId="77777777" w:rsidR="00D404AC" w:rsidRPr="005D10C1" w:rsidRDefault="00DB0C1B">
      <w:pPr>
        <w:pStyle w:val="Tabladeilustraciones"/>
        <w:tabs>
          <w:tab w:val="right" w:leader="dot" w:pos="8828"/>
        </w:tabs>
        <w:rPr>
          <w:rFonts w:ascii="Candara" w:eastAsiaTheme="minorEastAsia" w:hAnsi="Candara" w:cstheme="minorBidi"/>
          <w:noProof/>
          <w:sz w:val="22"/>
          <w:szCs w:val="22"/>
          <w:lang w:eastAsia="es-CO"/>
        </w:rPr>
      </w:pPr>
      <w:hyperlink w:anchor="_Toc377652595" w:history="1">
        <w:r w:rsidR="00D404AC" w:rsidRPr="005D10C1">
          <w:rPr>
            <w:rStyle w:val="Hipervnculo"/>
            <w:rFonts w:ascii="Candara" w:hAnsi="Candara"/>
            <w:noProof/>
          </w:rPr>
          <w:t xml:space="preserve">Ilustración 4: Sistema de Innovación de Brasil. </w:t>
        </w:r>
        <w:r w:rsidR="00D404AC" w:rsidRPr="005D10C1">
          <w:rPr>
            <w:rStyle w:val="Hipervnculo"/>
            <w:rFonts w:ascii="Candara" w:hAnsi="Candara"/>
            <w:noProof/>
            <w:lang w:val="pt-BR"/>
          </w:rPr>
          <w:t>Tomado del Ministério da Ciência Tecnologia e Inovação.</w:t>
        </w:r>
        <w:r w:rsidR="00D404AC" w:rsidRPr="005D10C1">
          <w:rPr>
            <w:rFonts w:ascii="Candara" w:hAnsi="Candara"/>
            <w:noProof/>
            <w:webHidden/>
          </w:rPr>
          <w:tab/>
        </w:r>
        <w:r w:rsidR="003B0D24" w:rsidRPr="005D10C1">
          <w:rPr>
            <w:rFonts w:ascii="Candara" w:hAnsi="Candara"/>
            <w:noProof/>
            <w:webHidden/>
          </w:rPr>
          <w:fldChar w:fldCharType="begin"/>
        </w:r>
        <w:r w:rsidR="00D404AC" w:rsidRPr="005D10C1">
          <w:rPr>
            <w:rFonts w:ascii="Candara" w:hAnsi="Candara"/>
            <w:noProof/>
            <w:webHidden/>
          </w:rPr>
          <w:instrText xml:space="preserve"> PAGEREF _Toc377652595 \h </w:instrText>
        </w:r>
        <w:r w:rsidR="003B0D24" w:rsidRPr="005D10C1">
          <w:rPr>
            <w:rFonts w:ascii="Candara" w:hAnsi="Candara"/>
            <w:noProof/>
            <w:webHidden/>
          </w:rPr>
        </w:r>
        <w:r w:rsidR="003B0D24" w:rsidRPr="005D10C1">
          <w:rPr>
            <w:rFonts w:ascii="Candara" w:hAnsi="Candara"/>
            <w:noProof/>
            <w:webHidden/>
          </w:rPr>
          <w:fldChar w:fldCharType="separate"/>
        </w:r>
        <w:r w:rsidR="005D10C1">
          <w:rPr>
            <w:rFonts w:ascii="Candara" w:hAnsi="Candara"/>
            <w:noProof/>
            <w:webHidden/>
          </w:rPr>
          <w:t>34</w:t>
        </w:r>
        <w:r w:rsidR="003B0D24" w:rsidRPr="005D10C1">
          <w:rPr>
            <w:rFonts w:ascii="Candara" w:hAnsi="Candara"/>
            <w:noProof/>
            <w:webHidden/>
          </w:rPr>
          <w:fldChar w:fldCharType="end"/>
        </w:r>
      </w:hyperlink>
    </w:p>
    <w:p w14:paraId="31E0E339" w14:textId="77777777" w:rsidR="00D404AC" w:rsidRPr="005D10C1" w:rsidRDefault="00DB0C1B">
      <w:pPr>
        <w:pStyle w:val="Tabladeilustraciones"/>
        <w:tabs>
          <w:tab w:val="right" w:leader="dot" w:pos="8828"/>
        </w:tabs>
        <w:rPr>
          <w:rFonts w:ascii="Candara" w:eastAsiaTheme="minorEastAsia" w:hAnsi="Candara" w:cstheme="minorBidi"/>
          <w:noProof/>
          <w:sz w:val="22"/>
          <w:szCs w:val="22"/>
          <w:lang w:eastAsia="es-CO"/>
        </w:rPr>
      </w:pPr>
      <w:hyperlink w:anchor="_Toc377652596" w:history="1">
        <w:r w:rsidR="00D404AC" w:rsidRPr="005D10C1">
          <w:rPr>
            <w:rStyle w:val="Hipervnculo"/>
            <w:rFonts w:ascii="Candara" w:hAnsi="Candara"/>
            <w:noProof/>
          </w:rPr>
          <w:t>Ilustración 5: Gasto de I+D en Brasil. Tomado del Banco Mundial</w:t>
        </w:r>
        <w:r w:rsidR="00D404AC" w:rsidRPr="005D10C1">
          <w:rPr>
            <w:rFonts w:ascii="Candara" w:hAnsi="Candara"/>
            <w:noProof/>
            <w:webHidden/>
          </w:rPr>
          <w:tab/>
        </w:r>
        <w:r w:rsidR="003B0D24" w:rsidRPr="005D10C1">
          <w:rPr>
            <w:rFonts w:ascii="Candara" w:hAnsi="Candara"/>
            <w:noProof/>
            <w:webHidden/>
          </w:rPr>
          <w:fldChar w:fldCharType="begin"/>
        </w:r>
        <w:r w:rsidR="00D404AC" w:rsidRPr="005D10C1">
          <w:rPr>
            <w:rFonts w:ascii="Candara" w:hAnsi="Candara"/>
            <w:noProof/>
            <w:webHidden/>
          </w:rPr>
          <w:instrText xml:space="preserve"> PAGEREF _Toc377652596 \h </w:instrText>
        </w:r>
        <w:r w:rsidR="003B0D24" w:rsidRPr="005D10C1">
          <w:rPr>
            <w:rFonts w:ascii="Candara" w:hAnsi="Candara"/>
            <w:noProof/>
            <w:webHidden/>
          </w:rPr>
        </w:r>
        <w:r w:rsidR="003B0D24" w:rsidRPr="005D10C1">
          <w:rPr>
            <w:rFonts w:ascii="Candara" w:hAnsi="Candara"/>
            <w:noProof/>
            <w:webHidden/>
          </w:rPr>
          <w:fldChar w:fldCharType="separate"/>
        </w:r>
        <w:r w:rsidR="005D10C1">
          <w:rPr>
            <w:rFonts w:ascii="Candara" w:hAnsi="Candara"/>
            <w:noProof/>
            <w:webHidden/>
          </w:rPr>
          <w:t>35</w:t>
        </w:r>
        <w:r w:rsidR="003B0D24" w:rsidRPr="005D10C1">
          <w:rPr>
            <w:rFonts w:ascii="Candara" w:hAnsi="Candara"/>
            <w:noProof/>
            <w:webHidden/>
          </w:rPr>
          <w:fldChar w:fldCharType="end"/>
        </w:r>
      </w:hyperlink>
    </w:p>
    <w:p w14:paraId="1B79E12B" w14:textId="77777777" w:rsidR="00D404AC" w:rsidRPr="005D10C1" w:rsidRDefault="00DB0C1B">
      <w:pPr>
        <w:pStyle w:val="Tabladeilustraciones"/>
        <w:tabs>
          <w:tab w:val="right" w:leader="dot" w:pos="8828"/>
        </w:tabs>
        <w:rPr>
          <w:rFonts w:ascii="Candara" w:eastAsiaTheme="minorEastAsia" w:hAnsi="Candara" w:cstheme="minorBidi"/>
          <w:noProof/>
          <w:sz w:val="22"/>
          <w:szCs w:val="22"/>
          <w:lang w:eastAsia="es-CO"/>
        </w:rPr>
      </w:pPr>
      <w:hyperlink w:anchor="_Toc377652597" w:history="1">
        <w:r w:rsidR="00D404AC" w:rsidRPr="005D10C1">
          <w:rPr>
            <w:rStyle w:val="Hipervnculo"/>
            <w:rFonts w:ascii="Candara" w:hAnsi="Candara"/>
            <w:noProof/>
          </w:rPr>
          <w:t>Ilustración 6: Sistema de Innovación de Francia</w:t>
        </w:r>
        <w:r w:rsidR="00D404AC" w:rsidRPr="005D10C1">
          <w:rPr>
            <w:rFonts w:ascii="Candara" w:hAnsi="Candara"/>
            <w:noProof/>
            <w:webHidden/>
          </w:rPr>
          <w:tab/>
        </w:r>
        <w:r w:rsidR="003B0D24" w:rsidRPr="005D10C1">
          <w:rPr>
            <w:rFonts w:ascii="Candara" w:hAnsi="Candara"/>
            <w:noProof/>
            <w:webHidden/>
          </w:rPr>
          <w:fldChar w:fldCharType="begin"/>
        </w:r>
        <w:r w:rsidR="00D404AC" w:rsidRPr="005D10C1">
          <w:rPr>
            <w:rFonts w:ascii="Candara" w:hAnsi="Candara"/>
            <w:noProof/>
            <w:webHidden/>
          </w:rPr>
          <w:instrText xml:space="preserve"> PAGEREF _Toc377652597 \h </w:instrText>
        </w:r>
        <w:r w:rsidR="003B0D24" w:rsidRPr="005D10C1">
          <w:rPr>
            <w:rFonts w:ascii="Candara" w:hAnsi="Candara"/>
            <w:noProof/>
            <w:webHidden/>
          </w:rPr>
        </w:r>
        <w:r w:rsidR="003B0D24" w:rsidRPr="005D10C1">
          <w:rPr>
            <w:rFonts w:ascii="Candara" w:hAnsi="Candara"/>
            <w:noProof/>
            <w:webHidden/>
          </w:rPr>
          <w:fldChar w:fldCharType="separate"/>
        </w:r>
        <w:r w:rsidR="005D10C1">
          <w:rPr>
            <w:rFonts w:ascii="Candara" w:hAnsi="Candara"/>
            <w:noProof/>
            <w:webHidden/>
          </w:rPr>
          <w:t>39</w:t>
        </w:r>
        <w:r w:rsidR="003B0D24" w:rsidRPr="005D10C1">
          <w:rPr>
            <w:rFonts w:ascii="Candara" w:hAnsi="Candara"/>
            <w:noProof/>
            <w:webHidden/>
          </w:rPr>
          <w:fldChar w:fldCharType="end"/>
        </w:r>
      </w:hyperlink>
    </w:p>
    <w:p w14:paraId="2DBFF1D5" w14:textId="77777777" w:rsidR="00D404AC" w:rsidRPr="005D10C1" w:rsidRDefault="00DB0C1B">
      <w:pPr>
        <w:pStyle w:val="Tabladeilustraciones"/>
        <w:tabs>
          <w:tab w:val="right" w:leader="dot" w:pos="8828"/>
        </w:tabs>
        <w:rPr>
          <w:rFonts w:ascii="Candara" w:eastAsiaTheme="minorEastAsia" w:hAnsi="Candara" w:cstheme="minorBidi"/>
          <w:noProof/>
          <w:sz w:val="22"/>
          <w:szCs w:val="22"/>
          <w:lang w:eastAsia="es-CO"/>
        </w:rPr>
      </w:pPr>
      <w:hyperlink w:anchor="_Toc377652598" w:history="1">
        <w:r w:rsidR="00D404AC" w:rsidRPr="005D10C1">
          <w:rPr>
            <w:rStyle w:val="Hipervnculo"/>
            <w:rFonts w:ascii="Candara" w:hAnsi="Candara" w:cstheme="minorHAnsi"/>
            <w:noProof/>
          </w:rPr>
          <w:t>Ilustración 7: Gasto de I+D en Francia</w:t>
        </w:r>
        <w:r w:rsidR="00D404AC" w:rsidRPr="005D10C1">
          <w:rPr>
            <w:rFonts w:ascii="Candara" w:hAnsi="Candara"/>
            <w:noProof/>
            <w:webHidden/>
          </w:rPr>
          <w:tab/>
        </w:r>
        <w:r w:rsidR="003B0D24" w:rsidRPr="005D10C1">
          <w:rPr>
            <w:rFonts w:ascii="Candara" w:hAnsi="Candara"/>
            <w:noProof/>
            <w:webHidden/>
          </w:rPr>
          <w:fldChar w:fldCharType="begin"/>
        </w:r>
        <w:r w:rsidR="00D404AC" w:rsidRPr="005D10C1">
          <w:rPr>
            <w:rFonts w:ascii="Candara" w:hAnsi="Candara"/>
            <w:noProof/>
            <w:webHidden/>
          </w:rPr>
          <w:instrText xml:space="preserve"> PAGEREF _Toc377652598 \h </w:instrText>
        </w:r>
        <w:r w:rsidR="003B0D24" w:rsidRPr="005D10C1">
          <w:rPr>
            <w:rFonts w:ascii="Candara" w:hAnsi="Candara"/>
            <w:noProof/>
            <w:webHidden/>
          </w:rPr>
        </w:r>
        <w:r w:rsidR="003B0D24" w:rsidRPr="005D10C1">
          <w:rPr>
            <w:rFonts w:ascii="Candara" w:hAnsi="Candara"/>
            <w:noProof/>
            <w:webHidden/>
          </w:rPr>
          <w:fldChar w:fldCharType="separate"/>
        </w:r>
        <w:r w:rsidR="005D10C1">
          <w:rPr>
            <w:rFonts w:ascii="Candara" w:hAnsi="Candara"/>
            <w:noProof/>
            <w:webHidden/>
          </w:rPr>
          <w:t>41</w:t>
        </w:r>
        <w:r w:rsidR="003B0D24" w:rsidRPr="005D10C1">
          <w:rPr>
            <w:rFonts w:ascii="Candara" w:hAnsi="Candara"/>
            <w:noProof/>
            <w:webHidden/>
          </w:rPr>
          <w:fldChar w:fldCharType="end"/>
        </w:r>
      </w:hyperlink>
    </w:p>
    <w:p w14:paraId="37AD4F99" w14:textId="77777777" w:rsidR="00D404AC" w:rsidRPr="005D10C1" w:rsidRDefault="00DB0C1B">
      <w:pPr>
        <w:pStyle w:val="Tabladeilustraciones"/>
        <w:tabs>
          <w:tab w:val="right" w:leader="dot" w:pos="8828"/>
        </w:tabs>
        <w:rPr>
          <w:rFonts w:ascii="Candara" w:eastAsiaTheme="minorEastAsia" w:hAnsi="Candara" w:cstheme="minorBidi"/>
          <w:noProof/>
          <w:sz w:val="22"/>
          <w:szCs w:val="22"/>
          <w:lang w:eastAsia="es-CO"/>
        </w:rPr>
      </w:pPr>
      <w:hyperlink w:anchor="_Toc377652599" w:history="1">
        <w:r w:rsidR="00D404AC" w:rsidRPr="005D10C1">
          <w:rPr>
            <w:rStyle w:val="Hipervnculo"/>
            <w:rFonts w:ascii="Candara" w:hAnsi="Candara"/>
            <w:noProof/>
          </w:rPr>
          <w:t>Ilustración 8: Número de Spin-Off creadas en España.</w:t>
        </w:r>
        <w:r w:rsidR="00D404AC" w:rsidRPr="005D10C1">
          <w:rPr>
            <w:rFonts w:ascii="Candara" w:hAnsi="Candara"/>
            <w:noProof/>
            <w:webHidden/>
          </w:rPr>
          <w:tab/>
        </w:r>
        <w:r w:rsidR="003B0D24" w:rsidRPr="005D10C1">
          <w:rPr>
            <w:rFonts w:ascii="Candara" w:hAnsi="Candara"/>
            <w:noProof/>
            <w:webHidden/>
          </w:rPr>
          <w:fldChar w:fldCharType="begin"/>
        </w:r>
        <w:r w:rsidR="00D404AC" w:rsidRPr="005D10C1">
          <w:rPr>
            <w:rFonts w:ascii="Candara" w:hAnsi="Candara"/>
            <w:noProof/>
            <w:webHidden/>
          </w:rPr>
          <w:instrText xml:space="preserve"> PAGEREF _Toc377652599 \h </w:instrText>
        </w:r>
        <w:r w:rsidR="003B0D24" w:rsidRPr="005D10C1">
          <w:rPr>
            <w:rFonts w:ascii="Candara" w:hAnsi="Candara"/>
            <w:noProof/>
            <w:webHidden/>
          </w:rPr>
        </w:r>
        <w:r w:rsidR="003B0D24" w:rsidRPr="005D10C1">
          <w:rPr>
            <w:rFonts w:ascii="Candara" w:hAnsi="Candara"/>
            <w:noProof/>
            <w:webHidden/>
          </w:rPr>
          <w:fldChar w:fldCharType="separate"/>
        </w:r>
        <w:r w:rsidR="005D10C1">
          <w:rPr>
            <w:rFonts w:ascii="Candara" w:hAnsi="Candara"/>
            <w:noProof/>
            <w:webHidden/>
          </w:rPr>
          <w:t>46</w:t>
        </w:r>
        <w:r w:rsidR="003B0D24" w:rsidRPr="005D10C1">
          <w:rPr>
            <w:rFonts w:ascii="Candara" w:hAnsi="Candara"/>
            <w:noProof/>
            <w:webHidden/>
          </w:rPr>
          <w:fldChar w:fldCharType="end"/>
        </w:r>
      </w:hyperlink>
    </w:p>
    <w:p w14:paraId="0ED3648C" w14:textId="77777777" w:rsidR="00D404AC" w:rsidRPr="005D10C1" w:rsidRDefault="00DB0C1B">
      <w:pPr>
        <w:pStyle w:val="Tabladeilustraciones"/>
        <w:tabs>
          <w:tab w:val="right" w:leader="dot" w:pos="8828"/>
        </w:tabs>
        <w:rPr>
          <w:rFonts w:ascii="Candara" w:eastAsiaTheme="minorEastAsia" w:hAnsi="Candara" w:cstheme="minorBidi"/>
          <w:noProof/>
          <w:sz w:val="22"/>
          <w:szCs w:val="22"/>
          <w:lang w:eastAsia="es-CO"/>
        </w:rPr>
      </w:pPr>
      <w:hyperlink w:anchor="_Toc377652600" w:history="1">
        <w:r w:rsidR="00D404AC" w:rsidRPr="005D10C1">
          <w:rPr>
            <w:rStyle w:val="Hipervnculo"/>
            <w:rFonts w:ascii="Candara" w:hAnsi="Candara" w:cstheme="minorHAnsi"/>
            <w:noProof/>
          </w:rPr>
          <w:t>Ilustración 9: Ilustración 6: Gasto de I+D en España.</w:t>
        </w:r>
        <w:r w:rsidR="00D404AC" w:rsidRPr="005D10C1">
          <w:rPr>
            <w:rFonts w:ascii="Candara" w:hAnsi="Candara"/>
            <w:noProof/>
            <w:webHidden/>
          </w:rPr>
          <w:tab/>
        </w:r>
        <w:r w:rsidR="003B0D24" w:rsidRPr="005D10C1">
          <w:rPr>
            <w:rFonts w:ascii="Candara" w:hAnsi="Candara"/>
            <w:noProof/>
            <w:webHidden/>
          </w:rPr>
          <w:fldChar w:fldCharType="begin"/>
        </w:r>
        <w:r w:rsidR="00D404AC" w:rsidRPr="005D10C1">
          <w:rPr>
            <w:rFonts w:ascii="Candara" w:hAnsi="Candara"/>
            <w:noProof/>
            <w:webHidden/>
          </w:rPr>
          <w:instrText xml:space="preserve"> PAGEREF _Toc377652600 \h </w:instrText>
        </w:r>
        <w:r w:rsidR="003B0D24" w:rsidRPr="005D10C1">
          <w:rPr>
            <w:rFonts w:ascii="Candara" w:hAnsi="Candara"/>
            <w:noProof/>
            <w:webHidden/>
          </w:rPr>
        </w:r>
        <w:r w:rsidR="003B0D24" w:rsidRPr="005D10C1">
          <w:rPr>
            <w:rFonts w:ascii="Candara" w:hAnsi="Candara"/>
            <w:noProof/>
            <w:webHidden/>
          </w:rPr>
          <w:fldChar w:fldCharType="separate"/>
        </w:r>
        <w:r w:rsidR="005D10C1">
          <w:rPr>
            <w:rFonts w:ascii="Candara" w:hAnsi="Candara"/>
            <w:noProof/>
            <w:webHidden/>
          </w:rPr>
          <w:t>50</w:t>
        </w:r>
        <w:r w:rsidR="003B0D24" w:rsidRPr="005D10C1">
          <w:rPr>
            <w:rFonts w:ascii="Candara" w:hAnsi="Candara"/>
            <w:noProof/>
            <w:webHidden/>
          </w:rPr>
          <w:fldChar w:fldCharType="end"/>
        </w:r>
      </w:hyperlink>
    </w:p>
    <w:p w14:paraId="5EC4F8AB" w14:textId="77777777" w:rsidR="00D404AC" w:rsidRPr="005D10C1" w:rsidRDefault="00DB0C1B">
      <w:pPr>
        <w:pStyle w:val="Tabladeilustraciones"/>
        <w:tabs>
          <w:tab w:val="right" w:leader="dot" w:pos="8828"/>
        </w:tabs>
        <w:rPr>
          <w:rFonts w:ascii="Candara" w:eastAsiaTheme="minorEastAsia" w:hAnsi="Candara" w:cstheme="minorBidi"/>
          <w:noProof/>
          <w:sz w:val="22"/>
          <w:szCs w:val="22"/>
          <w:lang w:eastAsia="es-CO"/>
        </w:rPr>
      </w:pPr>
      <w:hyperlink w:anchor="_Toc377652601" w:history="1">
        <w:r w:rsidR="00D404AC" w:rsidRPr="005D10C1">
          <w:rPr>
            <w:rStyle w:val="Hipervnculo"/>
            <w:rFonts w:ascii="Candara" w:hAnsi="Candara"/>
            <w:noProof/>
          </w:rPr>
          <w:t>Ilustración 10: Sistema colombiano de Ciencia, Tecnología e Innovación.</w:t>
        </w:r>
        <w:r w:rsidR="00D404AC" w:rsidRPr="005D10C1">
          <w:rPr>
            <w:rFonts w:ascii="Candara" w:hAnsi="Candara"/>
            <w:noProof/>
            <w:webHidden/>
          </w:rPr>
          <w:tab/>
        </w:r>
        <w:r w:rsidR="003B0D24" w:rsidRPr="005D10C1">
          <w:rPr>
            <w:rFonts w:ascii="Candara" w:hAnsi="Candara"/>
            <w:noProof/>
            <w:webHidden/>
          </w:rPr>
          <w:fldChar w:fldCharType="begin"/>
        </w:r>
        <w:r w:rsidR="00D404AC" w:rsidRPr="005D10C1">
          <w:rPr>
            <w:rFonts w:ascii="Candara" w:hAnsi="Candara"/>
            <w:noProof/>
            <w:webHidden/>
          </w:rPr>
          <w:instrText xml:space="preserve"> PAGEREF _Toc377652601 \h </w:instrText>
        </w:r>
        <w:r w:rsidR="003B0D24" w:rsidRPr="005D10C1">
          <w:rPr>
            <w:rFonts w:ascii="Candara" w:hAnsi="Candara"/>
            <w:noProof/>
            <w:webHidden/>
          </w:rPr>
        </w:r>
        <w:r w:rsidR="003B0D24" w:rsidRPr="005D10C1">
          <w:rPr>
            <w:rFonts w:ascii="Candara" w:hAnsi="Candara"/>
            <w:noProof/>
            <w:webHidden/>
          </w:rPr>
          <w:fldChar w:fldCharType="separate"/>
        </w:r>
        <w:r w:rsidR="005D10C1">
          <w:rPr>
            <w:rFonts w:ascii="Candara" w:hAnsi="Candara"/>
            <w:noProof/>
            <w:webHidden/>
          </w:rPr>
          <w:t>58</w:t>
        </w:r>
        <w:r w:rsidR="003B0D24" w:rsidRPr="005D10C1">
          <w:rPr>
            <w:rFonts w:ascii="Candara" w:hAnsi="Candara"/>
            <w:noProof/>
            <w:webHidden/>
          </w:rPr>
          <w:fldChar w:fldCharType="end"/>
        </w:r>
      </w:hyperlink>
    </w:p>
    <w:p w14:paraId="45849F99" w14:textId="77777777" w:rsidR="00D404AC" w:rsidRPr="005D10C1" w:rsidRDefault="00DB0C1B">
      <w:pPr>
        <w:pStyle w:val="Tabladeilustraciones"/>
        <w:tabs>
          <w:tab w:val="right" w:leader="dot" w:pos="8828"/>
        </w:tabs>
        <w:rPr>
          <w:rFonts w:ascii="Candara" w:eastAsiaTheme="minorEastAsia" w:hAnsi="Candara" w:cstheme="minorBidi"/>
          <w:noProof/>
          <w:sz w:val="22"/>
          <w:szCs w:val="22"/>
          <w:lang w:eastAsia="es-CO"/>
        </w:rPr>
      </w:pPr>
      <w:hyperlink w:anchor="_Toc377652602" w:history="1">
        <w:r w:rsidR="00D404AC" w:rsidRPr="005D10C1">
          <w:rPr>
            <w:rStyle w:val="Hipervnculo"/>
            <w:rFonts w:ascii="Candara" w:hAnsi="Candara"/>
            <w:noProof/>
          </w:rPr>
          <w:t>Ilustración 11: Gasto de I+D en Colombia.</w:t>
        </w:r>
        <w:r w:rsidR="00D404AC" w:rsidRPr="005D10C1">
          <w:rPr>
            <w:rFonts w:ascii="Candara" w:hAnsi="Candara"/>
            <w:noProof/>
            <w:webHidden/>
          </w:rPr>
          <w:tab/>
        </w:r>
        <w:r w:rsidR="003B0D24" w:rsidRPr="005D10C1">
          <w:rPr>
            <w:rFonts w:ascii="Candara" w:hAnsi="Candara"/>
            <w:noProof/>
            <w:webHidden/>
          </w:rPr>
          <w:fldChar w:fldCharType="begin"/>
        </w:r>
        <w:r w:rsidR="00D404AC" w:rsidRPr="005D10C1">
          <w:rPr>
            <w:rFonts w:ascii="Candara" w:hAnsi="Candara"/>
            <w:noProof/>
            <w:webHidden/>
          </w:rPr>
          <w:instrText xml:space="preserve"> PAGEREF _Toc377652602 \h </w:instrText>
        </w:r>
        <w:r w:rsidR="003B0D24" w:rsidRPr="005D10C1">
          <w:rPr>
            <w:rFonts w:ascii="Candara" w:hAnsi="Candara"/>
            <w:noProof/>
            <w:webHidden/>
          </w:rPr>
        </w:r>
        <w:r w:rsidR="003B0D24" w:rsidRPr="005D10C1">
          <w:rPr>
            <w:rFonts w:ascii="Candara" w:hAnsi="Candara"/>
            <w:noProof/>
            <w:webHidden/>
          </w:rPr>
          <w:fldChar w:fldCharType="separate"/>
        </w:r>
        <w:r w:rsidR="005D10C1">
          <w:rPr>
            <w:rFonts w:ascii="Candara" w:hAnsi="Candara"/>
            <w:noProof/>
            <w:webHidden/>
          </w:rPr>
          <w:t>59</w:t>
        </w:r>
        <w:r w:rsidR="003B0D24" w:rsidRPr="005D10C1">
          <w:rPr>
            <w:rFonts w:ascii="Candara" w:hAnsi="Candara"/>
            <w:noProof/>
            <w:webHidden/>
          </w:rPr>
          <w:fldChar w:fldCharType="end"/>
        </w:r>
      </w:hyperlink>
    </w:p>
    <w:p w14:paraId="0BEB8481" w14:textId="77777777" w:rsidR="00D404AC" w:rsidRPr="005D10C1" w:rsidRDefault="003B0D24">
      <w:pPr>
        <w:rPr>
          <w:rFonts w:ascii="Candara" w:hAnsi="Candara"/>
        </w:rPr>
      </w:pPr>
      <w:r w:rsidRPr="005D10C1">
        <w:rPr>
          <w:rFonts w:ascii="Candara" w:hAnsi="Candara"/>
        </w:rPr>
        <w:fldChar w:fldCharType="end"/>
      </w:r>
    </w:p>
    <w:p w14:paraId="65470D1F" w14:textId="77777777" w:rsidR="00D404AC" w:rsidRPr="005D10C1" w:rsidRDefault="00D404AC">
      <w:pPr>
        <w:rPr>
          <w:rFonts w:ascii="Candara" w:hAnsi="Candara"/>
        </w:rPr>
      </w:pPr>
    </w:p>
    <w:p w14:paraId="71CF4A4E" w14:textId="77777777" w:rsidR="00D71B24" w:rsidRPr="005D10C1" w:rsidRDefault="00D71B24">
      <w:pPr>
        <w:rPr>
          <w:rFonts w:ascii="Candara" w:hAnsi="Candara"/>
        </w:rPr>
      </w:pPr>
      <w:r w:rsidRPr="005D10C1">
        <w:rPr>
          <w:rFonts w:ascii="Candara" w:eastAsiaTheme="majorEastAsia" w:hAnsi="Candara" w:cstheme="majorBidi"/>
          <w:b/>
          <w:bCs/>
          <w:sz w:val="28"/>
          <w:szCs w:val="28"/>
        </w:rPr>
        <w:br w:type="page"/>
      </w:r>
    </w:p>
    <w:p w14:paraId="38628FB1" w14:textId="77777777" w:rsidR="00536A4B" w:rsidRPr="005D10C1" w:rsidRDefault="00536A4B" w:rsidP="006B0B4F">
      <w:pPr>
        <w:pStyle w:val="Ttulo1"/>
        <w:spacing w:line="360" w:lineRule="auto"/>
        <w:rPr>
          <w:rFonts w:ascii="Candara" w:hAnsi="Candara"/>
          <w:color w:val="auto"/>
        </w:rPr>
      </w:pPr>
      <w:bookmarkStart w:id="1" w:name="_Toc377627215"/>
      <w:bookmarkStart w:id="2" w:name="_Toc377631055"/>
      <w:bookmarkStart w:id="3" w:name="_Toc365878853"/>
      <w:bookmarkStart w:id="4" w:name="_Toc377653139"/>
      <w:bookmarkEnd w:id="1"/>
      <w:bookmarkEnd w:id="2"/>
      <w:r w:rsidRPr="005D10C1">
        <w:rPr>
          <w:rFonts w:ascii="Candara" w:hAnsi="Candara"/>
          <w:color w:val="auto"/>
        </w:rPr>
        <w:lastRenderedPageBreak/>
        <w:t>Introducción</w:t>
      </w:r>
      <w:bookmarkEnd w:id="3"/>
      <w:bookmarkEnd w:id="4"/>
    </w:p>
    <w:p w14:paraId="382F4ECB" w14:textId="77777777" w:rsidR="00536A4B" w:rsidRPr="005D10C1" w:rsidRDefault="00B32F27" w:rsidP="006B0B4F">
      <w:pPr>
        <w:spacing w:line="360" w:lineRule="auto"/>
        <w:rPr>
          <w:rFonts w:ascii="Candara" w:hAnsi="Candara"/>
        </w:rPr>
      </w:pPr>
      <w:r w:rsidRPr="005D10C1">
        <w:rPr>
          <w:rFonts w:ascii="Candara" w:hAnsi="Candara"/>
        </w:rPr>
        <w:t xml:space="preserve">El presente documento desarrolla el marco referencial sobre la creación de empresas basadas en resultados de investigación de las universidades, conocidas también como spin-off académicas; el cual se constituye como uno de los resultados de la primera fase del proyecto “Alternativas jurídicas mediante la cuales se habilite expresamente la participación de servidores públicos en la creación de empresas como resultado de la actividad académica, con participación de instituciones públicas de educación superior”.   </w:t>
      </w:r>
    </w:p>
    <w:p w14:paraId="09EEA541" w14:textId="77777777" w:rsidR="00217F6E" w:rsidRPr="005D10C1" w:rsidRDefault="00217F6E" w:rsidP="006B0B4F">
      <w:pPr>
        <w:spacing w:line="360" w:lineRule="auto"/>
        <w:rPr>
          <w:rFonts w:ascii="Candara" w:hAnsi="Candara"/>
        </w:rPr>
      </w:pPr>
    </w:p>
    <w:p w14:paraId="23466A7C" w14:textId="77777777" w:rsidR="008B1E9A" w:rsidRPr="005D10C1" w:rsidRDefault="008B4C7D" w:rsidP="006B0B4F">
      <w:pPr>
        <w:spacing w:line="360" w:lineRule="auto"/>
        <w:rPr>
          <w:rFonts w:ascii="Candara" w:hAnsi="Candara"/>
        </w:rPr>
      </w:pPr>
      <w:r w:rsidRPr="005D10C1">
        <w:rPr>
          <w:rFonts w:ascii="Candara" w:hAnsi="Candara"/>
        </w:rPr>
        <w:t xml:space="preserve">Para el desarrollo de </w:t>
      </w:r>
      <w:r w:rsidR="00B32F27" w:rsidRPr="005D10C1">
        <w:rPr>
          <w:rFonts w:ascii="Candara" w:hAnsi="Candara"/>
        </w:rPr>
        <w:t xml:space="preserve">este marco </w:t>
      </w:r>
      <w:r w:rsidR="000F4753" w:rsidRPr="005D10C1">
        <w:rPr>
          <w:rFonts w:ascii="Candara" w:hAnsi="Candara"/>
        </w:rPr>
        <w:t>s</w:t>
      </w:r>
      <w:r w:rsidR="008B1E9A" w:rsidRPr="005D10C1">
        <w:rPr>
          <w:rFonts w:ascii="Candara" w:hAnsi="Candara"/>
        </w:rPr>
        <w:t>e han realizado las siguientes actividades:</w:t>
      </w:r>
    </w:p>
    <w:p w14:paraId="5F6FCF8B" w14:textId="77777777" w:rsidR="00C815FD" w:rsidRPr="005D10C1" w:rsidRDefault="008B1E9A" w:rsidP="001B24A9">
      <w:pPr>
        <w:pStyle w:val="Prrafodelista"/>
        <w:numPr>
          <w:ilvl w:val="0"/>
          <w:numId w:val="2"/>
        </w:numPr>
        <w:spacing w:line="360" w:lineRule="auto"/>
        <w:rPr>
          <w:rFonts w:ascii="Candara" w:hAnsi="Candara"/>
        </w:rPr>
      </w:pPr>
      <w:r w:rsidRPr="005D10C1">
        <w:rPr>
          <w:rFonts w:ascii="Candara" w:hAnsi="Candara"/>
        </w:rPr>
        <w:t xml:space="preserve">Búsqueda sistemática de información en revistas indexadas internacionales.  </w:t>
      </w:r>
      <w:r w:rsidR="00E86487" w:rsidRPr="005D10C1">
        <w:rPr>
          <w:rFonts w:ascii="Candara" w:hAnsi="Candara"/>
        </w:rPr>
        <w:t xml:space="preserve">En la base de datos SCOPUS se aplicó </w:t>
      </w:r>
      <w:r w:rsidRPr="005D10C1">
        <w:rPr>
          <w:rFonts w:ascii="Candara" w:hAnsi="Candara"/>
        </w:rPr>
        <w:t>un algoritmo de búsqueda</w:t>
      </w:r>
      <w:r w:rsidR="00E86487" w:rsidRPr="005D10C1">
        <w:rPr>
          <w:rFonts w:ascii="Candara" w:hAnsi="Candara"/>
        </w:rPr>
        <w:t>. S</w:t>
      </w:r>
      <w:r w:rsidRPr="005D10C1">
        <w:rPr>
          <w:rFonts w:ascii="Candara" w:hAnsi="Candara"/>
        </w:rPr>
        <w:t xml:space="preserve">e identificaron </w:t>
      </w:r>
      <w:r w:rsidR="00C815FD" w:rsidRPr="005D10C1">
        <w:rPr>
          <w:rFonts w:ascii="Candara" w:hAnsi="Candara"/>
        </w:rPr>
        <w:t>19</w:t>
      </w:r>
      <w:r w:rsidRPr="005D10C1">
        <w:rPr>
          <w:rFonts w:ascii="Candara" w:hAnsi="Candara"/>
        </w:rPr>
        <w:t xml:space="preserve"> artículos asociados al tema, con referencia a </w:t>
      </w:r>
      <w:r w:rsidR="00E86487" w:rsidRPr="005D10C1">
        <w:rPr>
          <w:rFonts w:ascii="Candara" w:hAnsi="Candara"/>
        </w:rPr>
        <w:t>5 países, a saber: EE</w:t>
      </w:r>
      <w:r w:rsidRPr="005D10C1">
        <w:rPr>
          <w:rFonts w:ascii="Candara" w:hAnsi="Candara"/>
        </w:rPr>
        <w:t>UU, Canadá</w:t>
      </w:r>
      <w:r w:rsidR="00C815FD" w:rsidRPr="005D10C1">
        <w:rPr>
          <w:rFonts w:ascii="Candara" w:hAnsi="Candara"/>
        </w:rPr>
        <w:t xml:space="preserve">, Reino </w:t>
      </w:r>
      <w:r w:rsidR="00E86487" w:rsidRPr="005D10C1">
        <w:rPr>
          <w:rFonts w:ascii="Candara" w:hAnsi="Candara"/>
        </w:rPr>
        <w:t>Unido, Francia, España</w:t>
      </w:r>
      <w:r w:rsidR="007B3F87" w:rsidRPr="005D10C1">
        <w:rPr>
          <w:rFonts w:ascii="Candara" w:hAnsi="Candara"/>
        </w:rPr>
        <w:t>.</w:t>
      </w:r>
    </w:p>
    <w:p w14:paraId="5F79DFAF" w14:textId="77777777" w:rsidR="00893ED1" w:rsidRPr="005D10C1" w:rsidRDefault="008B1E9A" w:rsidP="00893ED1">
      <w:pPr>
        <w:pStyle w:val="Prrafodelista"/>
        <w:numPr>
          <w:ilvl w:val="0"/>
          <w:numId w:val="2"/>
        </w:numPr>
        <w:spacing w:line="360" w:lineRule="auto"/>
        <w:rPr>
          <w:rFonts w:ascii="Candara" w:hAnsi="Candara"/>
        </w:rPr>
      </w:pPr>
      <w:r w:rsidRPr="005D10C1">
        <w:rPr>
          <w:rFonts w:ascii="Candara" w:hAnsi="Candara"/>
        </w:rPr>
        <w:t xml:space="preserve">Se definió centrar el análisis en cuatro países: Estados Unidos, España, Francia y Brasil.  Estados Unidos fue </w:t>
      </w:r>
      <w:r w:rsidR="0065387C" w:rsidRPr="005D10C1">
        <w:rPr>
          <w:rFonts w:ascii="Candara" w:hAnsi="Candara"/>
        </w:rPr>
        <w:t>seleccionado</w:t>
      </w:r>
      <w:r w:rsidR="005D1CC4" w:rsidRPr="005D10C1">
        <w:rPr>
          <w:rFonts w:ascii="Candara" w:hAnsi="Candara"/>
        </w:rPr>
        <w:t xml:space="preserve"> por ser </w:t>
      </w:r>
      <w:r w:rsidR="0065387C" w:rsidRPr="005D10C1">
        <w:rPr>
          <w:rFonts w:ascii="Candara" w:hAnsi="Candara"/>
        </w:rPr>
        <w:t xml:space="preserve">el país </w:t>
      </w:r>
      <w:r w:rsidR="005D1CC4" w:rsidRPr="005D10C1">
        <w:rPr>
          <w:rFonts w:ascii="Candara" w:hAnsi="Candara"/>
        </w:rPr>
        <w:t>líder</w:t>
      </w:r>
      <w:r w:rsidR="00893ED1" w:rsidRPr="005D10C1">
        <w:rPr>
          <w:rFonts w:ascii="Candara" w:hAnsi="Candara"/>
        </w:rPr>
        <w:t xml:space="preserve"> </w:t>
      </w:r>
      <w:r w:rsidR="00E86487" w:rsidRPr="005D10C1">
        <w:rPr>
          <w:rFonts w:ascii="Candara" w:hAnsi="Candara"/>
        </w:rPr>
        <w:t>y referente</w:t>
      </w:r>
      <w:r w:rsidR="0065387C" w:rsidRPr="005D10C1">
        <w:rPr>
          <w:rFonts w:ascii="Candara" w:hAnsi="Candara"/>
        </w:rPr>
        <w:t xml:space="preserve"> a nivel mundial</w:t>
      </w:r>
      <w:r w:rsidR="006F0A0E" w:rsidRPr="005D10C1">
        <w:rPr>
          <w:rFonts w:ascii="Candara" w:hAnsi="Candara"/>
        </w:rPr>
        <w:t xml:space="preserve"> </w:t>
      </w:r>
      <w:r w:rsidRPr="005D10C1">
        <w:rPr>
          <w:rFonts w:ascii="Candara" w:hAnsi="Candara"/>
        </w:rPr>
        <w:t xml:space="preserve">en la conformación de empresas tipo </w:t>
      </w:r>
      <w:r w:rsidRPr="005D10C1">
        <w:rPr>
          <w:rFonts w:ascii="Candara" w:hAnsi="Candara"/>
          <w:i/>
        </w:rPr>
        <w:t>spin-off</w:t>
      </w:r>
      <w:r w:rsidRPr="005D10C1">
        <w:rPr>
          <w:rFonts w:ascii="Candara" w:hAnsi="Candara"/>
        </w:rPr>
        <w:t xml:space="preserve">, </w:t>
      </w:r>
      <w:r w:rsidR="0065387C" w:rsidRPr="005D10C1">
        <w:rPr>
          <w:rFonts w:ascii="Candara" w:hAnsi="Candara"/>
        </w:rPr>
        <w:t xml:space="preserve">y, por lo tanto, ha mostrado un </w:t>
      </w:r>
      <w:r w:rsidR="00893ED1" w:rsidRPr="005D10C1">
        <w:rPr>
          <w:rFonts w:ascii="Candara" w:hAnsi="Candara"/>
        </w:rPr>
        <w:t xml:space="preserve"> marco </w:t>
      </w:r>
      <w:r w:rsidR="0065387C" w:rsidRPr="005D10C1">
        <w:rPr>
          <w:rFonts w:ascii="Candara" w:hAnsi="Candara"/>
        </w:rPr>
        <w:t>no</w:t>
      </w:r>
      <w:r w:rsidRPr="005D10C1">
        <w:rPr>
          <w:rFonts w:ascii="Candara" w:hAnsi="Candara"/>
        </w:rPr>
        <w:t>rmativo que ha favorecido este fenómeno</w:t>
      </w:r>
      <w:r w:rsidR="008B4C7D" w:rsidRPr="005D10C1">
        <w:rPr>
          <w:rFonts w:ascii="Candara" w:hAnsi="Candara"/>
        </w:rPr>
        <w:t>.</w:t>
      </w:r>
      <w:r w:rsidRPr="005D10C1">
        <w:rPr>
          <w:rFonts w:ascii="Candara" w:hAnsi="Candara"/>
        </w:rPr>
        <w:t xml:space="preserve">  En los casos de España y Francia, son pa</w:t>
      </w:r>
      <w:r w:rsidR="008B4C7D" w:rsidRPr="005D10C1">
        <w:rPr>
          <w:rFonts w:ascii="Candara" w:hAnsi="Candara"/>
        </w:rPr>
        <w:t xml:space="preserve">íses que han enfrentado dificultades institucionales normativas para la generación de </w:t>
      </w:r>
      <w:r w:rsidR="008B4C7D" w:rsidRPr="005D10C1">
        <w:rPr>
          <w:rFonts w:ascii="Candara" w:hAnsi="Candara"/>
          <w:i/>
        </w:rPr>
        <w:t>spin-off</w:t>
      </w:r>
      <w:r w:rsidR="00E86487" w:rsidRPr="005D10C1">
        <w:rPr>
          <w:rFonts w:ascii="Candara" w:hAnsi="Candara"/>
          <w:i/>
        </w:rPr>
        <w:t xml:space="preserve">; </w:t>
      </w:r>
      <w:r w:rsidR="00E86487" w:rsidRPr="005D10C1">
        <w:rPr>
          <w:rFonts w:ascii="Candara" w:hAnsi="Candara"/>
        </w:rPr>
        <w:t>dichos problemas han sido superado</w:t>
      </w:r>
      <w:r w:rsidR="008B4C7D" w:rsidRPr="005D10C1">
        <w:rPr>
          <w:rFonts w:ascii="Candara" w:hAnsi="Candara"/>
        </w:rPr>
        <w:t xml:space="preserve">s y </w:t>
      </w:r>
      <w:r w:rsidR="00E86487" w:rsidRPr="005D10C1">
        <w:rPr>
          <w:rFonts w:ascii="Candara" w:hAnsi="Candara"/>
        </w:rPr>
        <w:t xml:space="preserve">sirven </w:t>
      </w:r>
      <w:r w:rsidR="008B4C7D" w:rsidRPr="005D10C1">
        <w:rPr>
          <w:rFonts w:ascii="Candara" w:hAnsi="Candara"/>
        </w:rPr>
        <w:t>como base de análisis para el caso colombiano. Y, finalmente, Brasil</w:t>
      </w:r>
      <w:r w:rsidR="00893ED1" w:rsidRPr="005D10C1">
        <w:rPr>
          <w:rFonts w:ascii="Candara" w:hAnsi="Candara"/>
        </w:rPr>
        <w:t xml:space="preserve"> </w:t>
      </w:r>
      <w:r w:rsidR="008B4C7D" w:rsidRPr="005D10C1">
        <w:rPr>
          <w:rFonts w:ascii="Candara" w:hAnsi="Candara"/>
        </w:rPr>
        <w:t>se ha seleccionado, porque a pesar que existen limitaciones legales para la participación de servidores públicos en es</w:t>
      </w:r>
      <w:r w:rsidR="0065387C" w:rsidRPr="005D10C1">
        <w:rPr>
          <w:rFonts w:ascii="Candara" w:hAnsi="Candara"/>
        </w:rPr>
        <w:t>te tipo de empresas han plantea</w:t>
      </w:r>
      <w:r w:rsidR="008B4C7D" w:rsidRPr="005D10C1">
        <w:rPr>
          <w:rFonts w:ascii="Candara" w:hAnsi="Candara"/>
        </w:rPr>
        <w:t xml:space="preserve">do alternativas interesantes para  superar estos inconvenientes y generar </w:t>
      </w:r>
      <w:r w:rsidR="008B4C7D" w:rsidRPr="005D10C1">
        <w:rPr>
          <w:rFonts w:ascii="Candara" w:hAnsi="Candara"/>
          <w:i/>
        </w:rPr>
        <w:t>spin-off</w:t>
      </w:r>
      <w:r w:rsidR="008B4C7D" w:rsidRPr="005D10C1">
        <w:rPr>
          <w:rFonts w:ascii="Candara" w:hAnsi="Candara"/>
        </w:rPr>
        <w:t>.  En el caso de los últimos países citados</w:t>
      </w:r>
      <w:r w:rsidR="00893ED1" w:rsidRPr="005D10C1">
        <w:rPr>
          <w:rFonts w:ascii="Candara" w:hAnsi="Candara"/>
        </w:rPr>
        <w:t>, se tomó en consideración la similitud o disparidad de los sistemas normativos con el colombiano, para desarrollar el análisis.</w:t>
      </w:r>
    </w:p>
    <w:p w14:paraId="618734C2" w14:textId="77777777" w:rsidR="00893ED1" w:rsidRPr="005D10C1" w:rsidRDefault="00893ED1" w:rsidP="00893ED1">
      <w:pPr>
        <w:spacing w:line="360" w:lineRule="auto"/>
        <w:rPr>
          <w:rFonts w:ascii="Candara" w:hAnsi="Candara"/>
        </w:rPr>
      </w:pPr>
    </w:p>
    <w:p w14:paraId="1AFFDDCE" w14:textId="77777777" w:rsidR="00217F6E" w:rsidRPr="005D10C1" w:rsidRDefault="008B4C7D" w:rsidP="00893ED1">
      <w:pPr>
        <w:pStyle w:val="Prrafodelista"/>
        <w:spacing w:line="360" w:lineRule="auto"/>
        <w:ind w:left="0"/>
        <w:rPr>
          <w:rFonts w:ascii="Candara" w:hAnsi="Candara"/>
        </w:rPr>
      </w:pPr>
      <w:r w:rsidRPr="005D10C1">
        <w:rPr>
          <w:rFonts w:ascii="Candara" w:hAnsi="Candara"/>
        </w:rPr>
        <w:lastRenderedPageBreak/>
        <w:t xml:space="preserve"> Adicionalmente, se buscaron documentos de apoyo en la literatura gris, y se detectaron varias tesis de pregrado y  nivel nacional e intern</w:t>
      </w:r>
      <w:r w:rsidR="0065387C" w:rsidRPr="005D10C1">
        <w:rPr>
          <w:rFonts w:ascii="Candara" w:hAnsi="Candara"/>
        </w:rPr>
        <w:t>acional que han sido incorporados</w:t>
      </w:r>
      <w:r w:rsidRPr="005D10C1">
        <w:rPr>
          <w:rFonts w:ascii="Candara" w:hAnsi="Candara"/>
        </w:rPr>
        <w:t xml:space="preserve"> en el análisis.  </w:t>
      </w:r>
    </w:p>
    <w:p w14:paraId="64ECEDD1" w14:textId="77777777" w:rsidR="003265B8" w:rsidRPr="005D10C1" w:rsidRDefault="003265B8" w:rsidP="006B0B4F">
      <w:pPr>
        <w:spacing w:line="360" w:lineRule="auto"/>
        <w:rPr>
          <w:rFonts w:ascii="Candara" w:hAnsi="Candara"/>
        </w:rPr>
      </w:pPr>
    </w:p>
    <w:p w14:paraId="706C5DCA" w14:textId="77777777" w:rsidR="00330082" w:rsidRPr="005D10C1" w:rsidRDefault="00330082" w:rsidP="00330082">
      <w:pPr>
        <w:spacing w:line="360" w:lineRule="auto"/>
        <w:rPr>
          <w:rFonts w:ascii="Candara" w:hAnsi="Candara"/>
        </w:rPr>
      </w:pPr>
      <w:r w:rsidRPr="005D10C1">
        <w:rPr>
          <w:rFonts w:ascii="Candara" w:hAnsi="Candara"/>
        </w:rPr>
        <w:t xml:space="preserve">El presente informe, se desarrolla de la siguiente forma:  en primer lugar se presentan </w:t>
      </w:r>
      <w:r w:rsidR="009F549D" w:rsidRPr="005D10C1">
        <w:rPr>
          <w:rFonts w:ascii="Candara" w:hAnsi="Candara"/>
        </w:rPr>
        <w:t xml:space="preserve">los </w:t>
      </w:r>
      <w:r w:rsidRPr="005D10C1">
        <w:rPr>
          <w:rFonts w:ascii="Candara" w:hAnsi="Candara"/>
        </w:rPr>
        <w:t xml:space="preserve">conceptos fundamentales </w:t>
      </w:r>
      <w:r w:rsidR="0065387C" w:rsidRPr="005D10C1">
        <w:rPr>
          <w:rFonts w:ascii="Candara" w:hAnsi="Candara"/>
        </w:rPr>
        <w:t>cuando se aborda esta temática como lo son, por ejemplo, el modelo de la “universidad emprendedora”</w:t>
      </w:r>
      <w:r w:rsidRPr="005D10C1">
        <w:rPr>
          <w:rFonts w:ascii="Candara" w:hAnsi="Candara"/>
        </w:rPr>
        <w:t xml:space="preserve"> en donde se enmarcan las actividades de transferencia de tecnología y todas aquellas direccionadas a tener un impacto socio-económico más allá de las misiones tradicionales de la formación y la extensión; la transferencia de tecnología desde l</w:t>
      </w:r>
      <w:r w:rsidR="009F549D" w:rsidRPr="005D10C1">
        <w:rPr>
          <w:rFonts w:ascii="Candara" w:hAnsi="Candara"/>
        </w:rPr>
        <w:t xml:space="preserve">a universidad hacia la sociedad; </w:t>
      </w:r>
      <w:r w:rsidR="00AA1743" w:rsidRPr="005D10C1">
        <w:rPr>
          <w:rFonts w:ascii="Candara" w:hAnsi="Candara"/>
        </w:rPr>
        <w:t xml:space="preserve">las </w:t>
      </w:r>
      <w:r w:rsidRPr="005D10C1">
        <w:rPr>
          <w:rFonts w:ascii="Candara" w:hAnsi="Candara"/>
        </w:rPr>
        <w:t xml:space="preserve">tipologías de </w:t>
      </w:r>
      <w:r w:rsidRPr="005D10C1">
        <w:rPr>
          <w:rFonts w:ascii="Candara" w:hAnsi="Candara"/>
          <w:i/>
        </w:rPr>
        <w:t>spin-off</w:t>
      </w:r>
      <w:r w:rsidR="00AA1743" w:rsidRPr="005D10C1">
        <w:rPr>
          <w:rFonts w:ascii="Candara" w:hAnsi="Candara"/>
          <w:i/>
        </w:rPr>
        <w:t xml:space="preserve">; </w:t>
      </w:r>
      <w:r w:rsidR="00AA1743" w:rsidRPr="005D10C1">
        <w:rPr>
          <w:rFonts w:ascii="Candara" w:hAnsi="Candara"/>
        </w:rPr>
        <w:t xml:space="preserve">seguido de lo anterior se habla de la creación de </w:t>
      </w:r>
      <w:r w:rsidR="00AA1743" w:rsidRPr="005D10C1">
        <w:rPr>
          <w:rFonts w:ascii="Candara" w:hAnsi="Candara"/>
          <w:i/>
        </w:rPr>
        <w:t xml:space="preserve">spin-off </w:t>
      </w:r>
      <w:r w:rsidR="00AA1743" w:rsidRPr="005D10C1">
        <w:rPr>
          <w:rFonts w:ascii="Candara" w:hAnsi="Candara"/>
        </w:rPr>
        <w:t>y los factores que la afectan.</w:t>
      </w:r>
    </w:p>
    <w:p w14:paraId="0856F9AF" w14:textId="77777777" w:rsidR="009F549D" w:rsidRPr="005D10C1" w:rsidRDefault="009F549D" w:rsidP="00330082">
      <w:pPr>
        <w:spacing w:line="360" w:lineRule="auto"/>
        <w:rPr>
          <w:rFonts w:ascii="Candara" w:hAnsi="Candara"/>
        </w:rPr>
      </w:pPr>
    </w:p>
    <w:p w14:paraId="0BB56640" w14:textId="77777777" w:rsidR="00426F26" w:rsidRPr="005D10C1" w:rsidRDefault="00330082" w:rsidP="00330082">
      <w:pPr>
        <w:spacing w:line="360" w:lineRule="auto"/>
        <w:rPr>
          <w:rFonts w:ascii="Candara" w:hAnsi="Candara" w:cs="Arial"/>
        </w:rPr>
      </w:pPr>
      <w:r w:rsidRPr="005D10C1">
        <w:rPr>
          <w:rFonts w:ascii="Candara" w:hAnsi="Candara"/>
        </w:rPr>
        <w:t xml:space="preserve">En un segundo bloque se presenta </w:t>
      </w:r>
      <w:r w:rsidR="00426F26" w:rsidRPr="005D10C1">
        <w:rPr>
          <w:rFonts w:ascii="Candara" w:hAnsi="Candara" w:cs="Arial"/>
        </w:rPr>
        <w:t>brevemente el sistema de innovación y los programas y mecanismos que lo soportan</w:t>
      </w:r>
      <w:r w:rsidR="00A77A04" w:rsidRPr="005D10C1">
        <w:rPr>
          <w:rFonts w:ascii="Candara" w:hAnsi="Candara" w:cs="Arial"/>
        </w:rPr>
        <w:t xml:space="preserve"> </w:t>
      </w:r>
      <w:r w:rsidR="00A77A04" w:rsidRPr="005D10C1">
        <w:rPr>
          <w:rFonts w:ascii="Candara" w:hAnsi="Candara"/>
        </w:rPr>
        <w:t>los países seleccionados</w:t>
      </w:r>
      <w:r w:rsidR="00426F26" w:rsidRPr="005D10C1">
        <w:rPr>
          <w:rFonts w:ascii="Candara" w:hAnsi="Candara" w:cs="Arial"/>
        </w:rPr>
        <w:t xml:space="preserve">; el estado del desarrollo del fenómeno </w:t>
      </w:r>
      <w:r w:rsidR="00426F26" w:rsidRPr="005D10C1">
        <w:rPr>
          <w:rFonts w:ascii="Candara" w:hAnsi="Candara" w:cs="Arial"/>
          <w:i/>
        </w:rPr>
        <w:t>spin-off</w:t>
      </w:r>
      <w:r w:rsidR="00426F26" w:rsidRPr="005D10C1">
        <w:rPr>
          <w:rFonts w:ascii="Candara" w:hAnsi="Candara" w:cs="Arial"/>
        </w:rPr>
        <w:t>, los programas y leyes que incentivan la creación de este tipo de compañías y se consigna si en estos lugares los servidores públicos tienen o han tenido inhabilidades para participar en la creación de estas empresas.</w:t>
      </w:r>
    </w:p>
    <w:p w14:paraId="49205727" w14:textId="77777777" w:rsidR="00B32F27" w:rsidRPr="005D10C1" w:rsidRDefault="00B32F27" w:rsidP="00330082">
      <w:pPr>
        <w:spacing w:line="360" w:lineRule="auto"/>
        <w:rPr>
          <w:rFonts w:ascii="Candara" w:hAnsi="Candara"/>
        </w:rPr>
      </w:pPr>
    </w:p>
    <w:p w14:paraId="78BC4BF4" w14:textId="77777777" w:rsidR="00B32F27" w:rsidRPr="005D10C1" w:rsidRDefault="00B32F27" w:rsidP="00330082">
      <w:pPr>
        <w:spacing w:line="360" w:lineRule="auto"/>
        <w:rPr>
          <w:rFonts w:ascii="Candara" w:hAnsi="Candara"/>
        </w:rPr>
      </w:pPr>
      <w:r w:rsidRPr="005D10C1">
        <w:rPr>
          <w:rFonts w:ascii="Candara" w:hAnsi="Candara"/>
        </w:rPr>
        <w:t xml:space="preserve">El tercer bloque incluye el marco de referencia nacional, en el cual se contextualiza acerca del sistema de innovación colombiano y de qué manera influye en la creación de spin-off. Luego, se consigna información en la cual se relaciona los adelantos de las universidades públicas colombianas en  su camino en crear spin-off. </w:t>
      </w:r>
    </w:p>
    <w:p w14:paraId="6ABAD935" w14:textId="77777777" w:rsidR="00330082" w:rsidRPr="005D10C1" w:rsidRDefault="00330082" w:rsidP="00330082">
      <w:pPr>
        <w:spacing w:line="360" w:lineRule="auto"/>
        <w:rPr>
          <w:rFonts w:ascii="Candara" w:hAnsi="Candara"/>
        </w:rPr>
      </w:pPr>
    </w:p>
    <w:p w14:paraId="1D2BB2FA" w14:textId="77777777" w:rsidR="00040360" w:rsidRPr="005D10C1" w:rsidRDefault="00040360">
      <w:pPr>
        <w:rPr>
          <w:rFonts w:ascii="Candara" w:eastAsiaTheme="majorEastAsia" w:hAnsi="Candara" w:cstheme="majorBidi"/>
          <w:b/>
          <w:bCs/>
          <w:sz w:val="28"/>
          <w:szCs w:val="28"/>
        </w:rPr>
      </w:pPr>
      <w:bookmarkStart w:id="5" w:name="_Toc365878854"/>
      <w:r w:rsidRPr="005D10C1">
        <w:rPr>
          <w:rFonts w:ascii="Candara" w:hAnsi="Candara"/>
        </w:rPr>
        <w:br w:type="page"/>
      </w:r>
    </w:p>
    <w:p w14:paraId="307DE9CD" w14:textId="77777777" w:rsidR="00C815FD" w:rsidRPr="005D10C1" w:rsidRDefault="00286BFF">
      <w:pPr>
        <w:pStyle w:val="Ttulo1"/>
        <w:rPr>
          <w:rFonts w:ascii="Candara" w:hAnsi="Candara"/>
          <w:color w:val="auto"/>
        </w:rPr>
      </w:pPr>
      <w:bookmarkStart w:id="6" w:name="_Toc377653140"/>
      <w:bookmarkEnd w:id="5"/>
      <w:r w:rsidRPr="005D10C1">
        <w:rPr>
          <w:rFonts w:ascii="Candara" w:hAnsi="Candara"/>
          <w:color w:val="auto"/>
        </w:rPr>
        <w:lastRenderedPageBreak/>
        <w:t>Conceptos fundamentales</w:t>
      </w:r>
      <w:bookmarkEnd w:id="6"/>
    </w:p>
    <w:p w14:paraId="697F342A" w14:textId="77777777" w:rsidR="00C815FD" w:rsidRPr="005D10C1" w:rsidRDefault="00C815FD">
      <w:pPr>
        <w:rPr>
          <w:rFonts w:ascii="Candara" w:hAnsi="Candara"/>
        </w:rPr>
      </w:pPr>
    </w:p>
    <w:p w14:paraId="50010F2A" w14:textId="77777777" w:rsidR="00706384" w:rsidRPr="005D10C1" w:rsidRDefault="00706384" w:rsidP="00706384">
      <w:pPr>
        <w:spacing w:line="360" w:lineRule="auto"/>
        <w:rPr>
          <w:rFonts w:ascii="Candara" w:hAnsi="Candara" w:cs="Arial"/>
        </w:rPr>
      </w:pPr>
      <w:r w:rsidRPr="005D10C1">
        <w:rPr>
          <w:rFonts w:ascii="Candara" w:hAnsi="Candara" w:cs="Arial"/>
        </w:rPr>
        <w:t xml:space="preserve">La universidad ha tenido que enfrentarse a una serie de retos que le ha planteado la evolución de los sistemas políticos, económicos y sociales del mundo, obligándola a transformarse de forma permanente, realizando una serie de cambios en su misión, planteamientos, estructura e, incluso, en su cultura </w:t>
      </w:r>
      <w:r w:rsidR="003B0D24" w:rsidRPr="005D10C1">
        <w:rPr>
          <w:rFonts w:ascii="Candara" w:hAnsi="Candara" w:cs="Arial"/>
        </w:rPr>
        <w:fldChar w:fldCharType="begin" w:fldLock="1"/>
      </w:r>
      <w:r w:rsidRPr="005D10C1">
        <w:rPr>
          <w:rFonts w:ascii="Candara" w:hAnsi="Candara" w:cs="Arial"/>
        </w:rPr>
        <w:instrText>ADDIN CSL_CITATION { "citationItems" : [ { "id" : "ITEM-1", "itemData" : { "author" : [ { "dropping-particle" : "", "family" : "Morales", "given" : "Silvia Teresa", "non-dropping-particle" : "", "parse-names" : false, "suffix" : "" } ], "id" : "ITEM-1", "issued" : { "date-parts" : [ [ "2008" ] ] }, "page" : "343", "publisher" : "Universitat de Valencia", "title" : "El emprendedor acad\u00e9mico y la decisi\u00f3n de crear Spin off: Un an\u00e1lisis del caso espa\u00f1ol.", "type" : "thesis" }, "uris" : [ "http://www.mendeley.com/documents/?uuid=10080cd6-1b1f-4c9b-975a-58b830c57e62" ] } ], "mendeley" : { "manualFormatting" : "(Morales, 2008)", "previouslyFormattedCitation" : "(Morales, 2008)" }, "properties" : { "noteIndex" : 0 }, "schema" : "https://github.com/citation-style-language/schema/raw/master/csl-citation.json" }</w:instrText>
      </w:r>
      <w:r w:rsidR="003B0D24" w:rsidRPr="005D10C1">
        <w:rPr>
          <w:rFonts w:ascii="Candara" w:hAnsi="Candara" w:cs="Arial"/>
        </w:rPr>
        <w:fldChar w:fldCharType="separate"/>
      </w:r>
      <w:r w:rsidRPr="005D10C1">
        <w:rPr>
          <w:rFonts w:ascii="Candara" w:hAnsi="Candara" w:cs="Arial"/>
          <w:noProof/>
        </w:rPr>
        <w:t>(Morales, 2008)</w:t>
      </w:r>
      <w:r w:rsidR="003B0D24" w:rsidRPr="005D10C1">
        <w:rPr>
          <w:rFonts w:ascii="Candara" w:hAnsi="Candara" w:cs="Arial"/>
        </w:rPr>
        <w:fldChar w:fldCharType="end"/>
      </w:r>
      <w:r w:rsidRPr="005D10C1">
        <w:rPr>
          <w:rFonts w:ascii="Candara" w:hAnsi="Candara" w:cs="Arial"/>
        </w:rPr>
        <w:t>.</w:t>
      </w:r>
    </w:p>
    <w:p w14:paraId="53AFAB47" w14:textId="77777777" w:rsidR="00706384" w:rsidRPr="005D10C1" w:rsidRDefault="00706384" w:rsidP="00706384">
      <w:pPr>
        <w:spacing w:line="360" w:lineRule="auto"/>
        <w:rPr>
          <w:rFonts w:ascii="Candara" w:hAnsi="Candara"/>
        </w:rPr>
      </w:pPr>
    </w:p>
    <w:p w14:paraId="154AA7A6" w14:textId="77777777" w:rsidR="00706384" w:rsidRPr="005D10C1" w:rsidRDefault="00706384" w:rsidP="00706384">
      <w:pPr>
        <w:spacing w:line="360" w:lineRule="auto"/>
        <w:rPr>
          <w:rFonts w:ascii="Candara" w:hAnsi="Candara" w:cs="Arial"/>
        </w:rPr>
      </w:pPr>
      <w:r w:rsidRPr="005D10C1">
        <w:rPr>
          <w:rFonts w:ascii="Candara" w:hAnsi="Candara" w:cs="Arial"/>
        </w:rPr>
        <w:t xml:space="preserve">Es así como las universidades han pasado de ser instituciones de enseñanza a entidades investigadoras y emprendedoras </w:t>
      </w:r>
      <w:r w:rsidR="003B0D24" w:rsidRPr="005D10C1">
        <w:rPr>
          <w:rFonts w:ascii="Candara" w:hAnsi="Candara" w:cs="Arial"/>
        </w:rPr>
        <w:fldChar w:fldCharType="begin" w:fldLock="1"/>
      </w:r>
      <w:r w:rsidRPr="005D10C1">
        <w:rPr>
          <w:rFonts w:ascii="Candara" w:hAnsi="Candara" w:cs="Arial"/>
        </w:rPr>
        <w:instrText>ADDIN CSL_CITATION { "citationItems" : [ { "id" : "ITEM-1", "itemData" : { "author" : [ { "dropping-particle" : "", "family" : "Etzkowitz", "given" : "", "non-dropping-particle" : "", "parse-names" : false, "suffix" : "" } ], "container-title" : "International Journal of Technology and Globalisation", "id" : "ITEM-1", "issued" : { "date-parts" : [ [ "2004" ] ] }, "title" : "The evolution of the entrepreneurial university", "type" : "article-journal" }, "uris" : [ "http://www.mendeley.com/documents/?uuid=793ebd76-59da-4b0a-9359-067476eb3467" ] } ], "mendeley" : { "previouslyFormattedCitation" : "(Etzkowitz, 2004)" }, "properties" : { "noteIndex" : 0 }, "schema" : "https://github.com/citation-style-language/schema/raw/master/csl-citation.json" }</w:instrText>
      </w:r>
      <w:r w:rsidR="003B0D24" w:rsidRPr="005D10C1">
        <w:rPr>
          <w:rFonts w:ascii="Candara" w:hAnsi="Candara" w:cs="Arial"/>
        </w:rPr>
        <w:fldChar w:fldCharType="separate"/>
      </w:r>
      <w:r w:rsidRPr="005D10C1">
        <w:rPr>
          <w:rFonts w:ascii="Candara" w:hAnsi="Candara" w:cs="Arial"/>
          <w:noProof/>
        </w:rPr>
        <w:t>(Etzkowitz, 2004)</w:t>
      </w:r>
      <w:r w:rsidR="003B0D24" w:rsidRPr="005D10C1">
        <w:rPr>
          <w:rFonts w:ascii="Candara" w:hAnsi="Candara" w:cs="Arial"/>
        </w:rPr>
        <w:fldChar w:fldCharType="end"/>
      </w:r>
      <w:r w:rsidRPr="005D10C1">
        <w:rPr>
          <w:rFonts w:ascii="Candara" w:hAnsi="Candara" w:cs="Arial"/>
        </w:rPr>
        <w:t xml:space="preserve">. En la primera revolución académica, que se presentó a finales del siglo XIX, la universidad se convirtió no sólo en responsable de los procesos de formación de alta cualificación en la sociedad sino también en generadora de nuevo conocimiento, por lo cual asume la investigación como su segunda misión.  Posteriormente, surge la tercera misión de la universidad y el modelo de universidad emprendedora, en el cual esta institución debe pone los resultados de investigación al servicio de la sociedad de forma tal que impacte en el desarrollo económico de la región en donde se encuentra. La universidad emprendedora tiene la capacidad de generar una dirección estratégica focalizada. Dicha dirección estratégica se enfoca en la formulación de metas académicas y en poner el conocimiento producido dentro de la universidad en utilidad económica y social </w:t>
      </w:r>
      <w:r w:rsidR="003B0D24" w:rsidRPr="005D10C1">
        <w:rPr>
          <w:rFonts w:ascii="Candara" w:hAnsi="Candara" w:cs="Arial"/>
        </w:rPr>
        <w:fldChar w:fldCharType="begin" w:fldLock="1"/>
      </w:r>
      <w:r w:rsidRPr="005D10C1">
        <w:rPr>
          <w:rFonts w:ascii="Candara" w:hAnsi="Candara" w:cs="Arial"/>
        </w:rPr>
        <w:instrText>ADDIN CSL_CITATION { "citationItems" : [ { "id" : "ITEM-1", "itemData" : { "author" : [ { "dropping-particle" : "", "family" : "Etzkowitz", "given" : "", "non-dropping-particle" : "", "parse-names" : false, "suffix" : "" } ], "container-title" : "Research policy", "id" : "ITEM-1", "issued" : { "date-parts" : [ [ "2003" ] ] }, "title" : "Research groups as quasi-firms': the invention of the entrepreneurial university", "type" : "article-journal" }, "uris" : [ "http://www.mendeley.com/documents/?uuid=948fa419-80bf-4921-9c2a-346f4d18166c" ] } ], "mendeley" : { "previouslyFormattedCitation" : "(Etzkowitz, 2003)" }, "properties" : { "noteIndex" : 0 }, "schema" : "https://github.com/citation-style-language/schema/raw/master/csl-citation.json" }</w:instrText>
      </w:r>
      <w:r w:rsidR="003B0D24" w:rsidRPr="005D10C1">
        <w:rPr>
          <w:rFonts w:ascii="Candara" w:hAnsi="Candara" w:cs="Arial"/>
        </w:rPr>
        <w:fldChar w:fldCharType="separate"/>
      </w:r>
      <w:r w:rsidRPr="005D10C1">
        <w:rPr>
          <w:rFonts w:ascii="Candara" w:hAnsi="Candara" w:cs="Arial"/>
          <w:noProof/>
        </w:rPr>
        <w:t>(Etzkowitz, 2003)</w:t>
      </w:r>
      <w:r w:rsidR="003B0D24" w:rsidRPr="005D10C1">
        <w:rPr>
          <w:rFonts w:ascii="Candara" w:hAnsi="Candara" w:cs="Arial"/>
        </w:rPr>
        <w:fldChar w:fldCharType="end"/>
      </w:r>
      <w:r w:rsidRPr="005D10C1">
        <w:rPr>
          <w:rFonts w:ascii="Candara" w:hAnsi="Candara" w:cs="Arial"/>
        </w:rPr>
        <w:t>.</w:t>
      </w:r>
    </w:p>
    <w:p w14:paraId="6C0E5183" w14:textId="77777777" w:rsidR="00706384" w:rsidRPr="005D10C1" w:rsidRDefault="00706384" w:rsidP="00706384">
      <w:pPr>
        <w:spacing w:line="360" w:lineRule="auto"/>
        <w:rPr>
          <w:rFonts w:ascii="Candara" w:hAnsi="Candara" w:cs="Arial"/>
        </w:rPr>
      </w:pPr>
    </w:p>
    <w:p w14:paraId="7C59EFFE" w14:textId="77777777" w:rsidR="00706384" w:rsidRPr="005D10C1" w:rsidRDefault="00706384" w:rsidP="00706384">
      <w:pPr>
        <w:spacing w:line="360" w:lineRule="auto"/>
        <w:rPr>
          <w:rFonts w:ascii="Candara" w:hAnsi="Candara" w:cs="Arial"/>
        </w:rPr>
      </w:pPr>
      <w:r w:rsidRPr="005D10C1">
        <w:rPr>
          <w:rFonts w:ascii="Candara" w:hAnsi="Candara" w:cs="Arial"/>
        </w:rPr>
        <w:t xml:space="preserve">Para dar cumplimiento a la tercera misión, las universidades pueden realizar diversas actividades como lo son: el desarrollo de proyectos científicos a gran escala mediante subvenciones o ayudas públicas o recursos de fuentes industriales; la investigación contratada en la que desarrolla proyectos de investigación específicos para organizaciones externas; la consultoría; la explotación de patentes o el licenciamiento de resultados de investigación por parte de la industria; la formación y creación de nuevas empresas u organizaciones tipo spin-off para explotar los resultados de la investigación de la universidad; la enseñanza externa mediante cursos cortos, la venta </w:t>
      </w:r>
      <w:r w:rsidRPr="005D10C1">
        <w:rPr>
          <w:rFonts w:ascii="Candara" w:hAnsi="Candara" w:cs="Arial"/>
        </w:rPr>
        <w:lastRenderedPageBreak/>
        <w:t xml:space="preserve">comercial de productos desarrollados en la propia universidad y los servicios de pruebas técnicas </w:t>
      </w:r>
      <w:r w:rsidR="003B0D24" w:rsidRPr="005D10C1">
        <w:rPr>
          <w:rFonts w:ascii="Candara" w:hAnsi="Candara" w:cs="Arial"/>
        </w:rPr>
        <w:fldChar w:fldCharType="begin" w:fldLock="1"/>
      </w:r>
      <w:r w:rsidRPr="005D10C1">
        <w:rPr>
          <w:rFonts w:ascii="Candara" w:hAnsi="Candara" w:cs="Arial"/>
        </w:rPr>
        <w:instrText>ADDIN CSL_CITATION { "citationItems" : [ { "id" : "ITEM-1", "itemData" : { "author" : [ { "dropping-particle" : "", "family" : "Jones-Evans", "given" : "D", "non-dropping-particle" : "", "parse-names" : false, "suffix" : "" } ], "container-title" : "Targeted socio-economic research project", "id" : "ITEM-1", "issued" : { "date-parts" : [ [ "1998" ] ] }, "title" : "Universities, technology transfer and spin-off activities: Academic entrepreneurship in different European regions", "type" : "article-journal" }, "uris" : [ "http://www.mendeley.com/documents/?uuid=7f9729d8-b194-4139-96f4-b7a761e39496" ] } ], "mendeley" : { "previouslyFormattedCitation" : "(Jones-Evans, 1998)" }, "properties" : { "noteIndex" : 0 }, "schema" : "https://github.com/citation-style-language/schema/raw/master/csl-citation.json" }</w:instrText>
      </w:r>
      <w:r w:rsidR="003B0D24" w:rsidRPr="005D10C1">
        <w:rPr>
          <w:rFonts w:ascii="Candara" w:hAnsi="Candara" w:cs="Arial"/>
        </w:rPr>
        <w:fldChar w:fldCharType="separate"/>
      </w:r>
      <w:r w:rsidRPr="005D10C1">
        <w:rPr>
          <w:rFonts w:ascii="Candara" w:hAnsi="Candara" w:cs="Arial"/>
          <w:noProof/>
        </w:rPr>
        <w:t>(Jones-Evans, 1998)</w:t>
      </w:r>
      <w:r w:rsidR="003B0D24" w:rsidRPr="005D10C1">
        <w:rPr>
          <w:rFonts w:ascii="Candara" w:hAnsi="Candara" w:cs="Arial"/>
        </w:rPr>
        <w:fldChar w:fldCharType="end"/>
      </w:r>
      <w:r w:rsidRPr="005D10C1">
        <w:rPr>
          <w:rFonts w:ascii="Candara" w:hAnsi="Candara" w:cs="Arial"/>
        </w:rPr>
        <w:t>.</w:t>
      </w:r>
    </w:p>
    <w:p w14:paraId="2158E893" w14:textId="77777777" w:rsidR="00724FA7" w:rsidRPr="005D10C1" w:rsidRDefault="00724FA7" w:rsidP="00392712">
      <w:pPr>
        <w:spacing w:line="360" w:lineRule="auto"/>
        <w:rPr>
          <w:rFonts w:ascii="Candara" w:hAnsi="Candara" w:cs="Arial"/>
        </w:rPr>
      </w:pPr>
    </w:p>
    <w:p w14:paraId="6ADF0845" w14:textId="77777777" w:rsidR="0003079D" w:rsidRPr="005D10C1" w:rsidRDefault="00392712" w:rsidP="00392712">
      <w:pPr>
        <w:spacing w:line="360" w:lineRule="auto"/>
        <w:rPr>
          <w:rFonts w:ascii="Candara" w:hAnsi="Candara"/>
        </w:rPr>
      </w:pPr>
      <w:r w:rsidRPr="005D10C1">
        <w:rPr>
          <w:rFonts w:ascii="Candara" w:hAnsi="Candara" w:cs="Arial"/>
        </w:rPr>
        <w:t xml:space="preserve">Cuando se aplica y explota el conocimiento generado al interior de las universidades, surge la </w:t>
      </w:r>
      <w:r w:rsidR="007371C9" w:rsidRPr="005D10C1">
        <w:rPr>
          <w:rFonts w:ascii="Candara" w:hAnsi="Candara" w:cs="Arial"/>
        </w:rPr>
        <w:t xml:space="preserve">denominada </w:t>
      </w:r>
      <w:r w:rsidRPr="005D10C1">
        <w:rPr>
          <w:rFonts w:ascii="Candara" w:hAnsi="Candara" w:cs="Arial"/>
        </w:rPr>
        <w:t xml:space="preserve">transferencia de tecnología. </w:t>
      </w:r>
      <w:r w:rsidRPr="005D10C1">
        <w:rPr>
          <w:rFonts w:ascii="Candara" w:hAnsi="Candara" w:cstheme="minorHAnsi"/>
        </w:rPr>
        <w:t xml:space="preserve">Los resultados de investigación generados en las universidades pueden ser transferidos o canalizados a la industria o mundo empresarial a través de las siguientes formas: </w:t>
      </w:r>
      <w:r w:rsidRPr="005D10C1">
        <w:rPr>
          <w:rFonts w:ascii="Candara" w:hAnsi="Candara" w:cs="Arial"/>
        </w:rPr>
        <w:t>esquemas de investigación colaborativos, los contratos de I+D, los acuerdos de licenciamiento de patentes</w:t>
      </w:r>
      <w:r w:rsidR="00244287" w:rsidRPr="005D10C1">
        <w:rPr>
          <w:rFonts w:ascii="Candara" w:hAnsi="Candara" w:cstheme="minorHAnsi"/>
        </w:rPr>
        <w:t>,</w:t>
      </w:r>
      <w:r w:rsidRPr="005D10C1">
        <w:rPr>
          <w:rFonts w:ascii="Candara" w:hAnsi="Candara" w:cs="Arial"/>
        </w:rPr>
        <w:t xml:space="preserve"> la creación de empresas de base tecnológica </w:t>
      </w:r>
      <w:r w:rsidRPr="005D10C1">
        <w:rPr>
          <w:rFonts w:ascii="Candara" w:hAnsi="Candara" w:cs="Arial"/>
          <w:i/>
        </w:rPr>
        <w:t>spin-off</w:t>
      </w:r>
      <w:r w:rsidR="008D29AF" w:rsidRPr="005D10C1">
        <w:rPr>
          <w:rFonts w:ascii="Candara" w:hAnsi="Candara" w:cs="Arial"/>
          <w:i/>
        </w:rPr>
        <w:t xml:space="preserve"> </w:t>
      </w:r>
      <w:r w:rsidR="003B0D24" w:rsidRPr="005D10C1">
        <w:rPr>
          <w:rFonts w:ascii="Candara" w:hAnsi="Candara" w:cstheme="minorHAnsi"/>
        </w:rPr>
        <w:fldChar w:fldCharType="begin" w:fldLock="1"/>
      </w:r>
      <w:r w:rsidR="00CA1A09" w:rsidRPr="005D10C1">
        <w:rPr>
          <w:rFonts w:ascii="Candara" w:hAnsi="Candara" w:cstheme="minorHAnsi"/>
        </w:rPr>
        <w:instrText>ADDIN CSL_CITATION { "citationItems" : [ { "id" : "ITEM-1", "itemData" : { "DOI" : "10.1016/j.respol.2010.05.016", "ISSN" : "00487333", "author" : [ { "dropping-particle" : "", "family" : "Caldera", "given" : "Aida", "non-dropping-particle" : "", "parse-names" : false, "suffix" : "" }, { "dropping-particle" : "", "family" : "Debande", "given" : "Olivier", "non-dropping-particle" : "", "parse-names" : false, "suffix" : "" } ], "container-title" : "Research Policy", "id" : "ITEM-1", "issue" : "9", "issued" : { "date-parts" : [ [ "2010", "11" ] ] }, "page" : "1160-1173", "publisher" : "Elsevier B.V.", "title" : "Performance of Spanish universities in technology transfer: An empirical analysis", "type" : "article-journal", "volume" : "39" }, "uris" : [ "http://www.mendeley.com/documents/?uuid=86003626-db00-4cb4-9a33-14d0cef71917" ] }, { "id" : "ITEM-2", "itemData" : { "abstract" : "The transfer of scientific and technological know-how into valuable economic activity has become a high priority on many policy agendas. Industry Science Links (ISLs) are an important dimension of this policy orientation. Over the last decades, multiple insights have been gained (both theoretical and empirical) as to how \"effective\" ISLs can be fostered through the design and the development of university-based technology transfer organizations (TTOs). In this paper, we document and analyze the evolution of \"effective\" university-based technology transfer mechanisms. We describe how decentralized organizational approaches and incentives that stimulate the active involvement of the research groups in the exploitation of their research findings might be combined with specialized central services offering intellectual property management and spin-off support. More particularly, we analyze how the creation of:an appropriate balance between centralization and decentralization within academia;the design of appropriate incentive structures for academic research groups;the implementation of appropriate decision and monitoring processes within the TTOhas brought about critical elements in fostering an \"effective\" commercialization of the academic science base. \u00a9 2005 Elsevier B.V. All rights reserved.", "author" : [ { "dropping-particle" : "", "family" : "Debackere", "given" : "K.", "non-dropping-particle" : "", "parse-names" : false, "suffix" : "" } ], "container-title" : "Research Policy", "id" : "ITEM-2", "issue" : "3", "issued" : { "date-parts" : [ [ "2005" ] ] }, "page" : "321-342", "title" : "The role of academic technology transfer organizations in improving industry science links", "type" : "article-journal", "volume" : "34" }, "uris" : [ "http://www.mendeley.com/documents/?uuid=a5a82c28-6cfd-4e47-93b1-e9290021f901" ] } ], "mendeley" : { "previouslyFormattedCitation" : "(Caldera &amp; Debande, 2010; Debackere, 2005)" }, "properties" : { "noteIndex" : 0 }, "schema" : "https://github.com/citation-style-language/schema/raw/master/csl-citation.json" }</w:instrText>
      </w:r>
      <w:r w:rsidR="003B0D24" w:rsidRPr="005D10C1">
        <w:rPr>
          <w:rFonts w:ascii="Candara" w:hAnsi="Candara" w:cstheme="minorHAnsi"/>
        </w:rPr>
        <w:fldChar w:fldCharType="separate"/>
      </w:r>
      <w:r w:rsidRPr="005D10C1">
        <w:rPr>
          <w:rFonts w:ascii="Candara" w:hAnsi="Candara" w:cstheme="minorHAnsi"/>
          <w:noProof/>
        </w:rPr>
        <w:t>(Caldera &amp; Debande, 2010; Debackere, 2005)</w:t>
      </w:r>
      <w:r w:rsidR="003B0D24" w:rsidRPr="005D10C1">
        <w:rPr>
          <w:rFonts w:ascii="Candara" w:hAnsi="Candara" w:cstheme="minorHAnsi"/>
        </w:rPr>
        <w:fldChar w:fldCharType="end"/>
      </w:r>
      <w:r w:rsidRPr="005D10C1">
        <w:rPr>
          <w:rFonts w:ascii="Candara" w:hAnsi="Candara" w:cstheme="minorHAnsi"/>
        </w:rPr>
        <w:t>.</w:t>
      </w:r>
      <w:r w:rsidRPr="005D10C1">
        <w:rPr>
          <w:rFonts w:ascii="Candara" w:hAnsi="Candara"/>
        </w:rPr>
        <w:t xml:space="preserve"> </w:t>
      </w:r>
    </w:p>
    <w:p w14:paraId="094D3A1A" w14:textId="77777777" w:rsidR="0003079D" w:rsidRPr="005D10C1" w:rsidRDefault="0003079D" w:rsidP="0003079D">
      <w:pPr>
        <w:spacing w:line="360" w:lineRule="auto"/>
        <w:rPr>
          <w:rFonts w:ascii="Candara" w:hAnsi="Candara"/>
        </w:rPr>
      </w:pPr>
      <w:r w:rsidRPr="005D10C1">
        <w:rPr>
          <w:rFonts w:ascii="Candara" w:hAnsi="Candara"/>
          <w:szCs w:val="22"/>
        </w:rPr>
        <w:t xml:space="preserve">Además de ser un medio importante de transferencia de tecnología del mundo académico al empresarial </w:t>
      </w:r>
      <w:r w:rsidR="003B0D24" w:rsidRPr="005D10C1">
        <w:rPr>
          <w:rFonts w:ascii="Candara" w:hAnsi="Candara"/>
          <w:szCs w:val="22"/>
        </w:rPr>
        <w:fldChar w:fldCharType="begin" w:fldLock="1"/>
      </w:r>
      <w:r w:rsidR="00CA1A09" w:rsidRPr="005D10C1">
        <w:rPr>
          <w:rFonts w:ascii="Candara" w:hAnsi="Candara"/>
          <w:szCs w:val="22"/>
        </w:rPr>
        <w:instrText>ADDIN CSL_CITATION { "citationItems" : [ { "id" : "ITEM-1", "itemData" : { "author" : [ { "dropping-particle" : "", "family" : "Helm", "given" : "Roland", "non-dropping-particle" : "", "parse-names" : false, "suffix" : "" }, { "dropping-particle" : "", "family" : "Mauroner", "given" : "Oliver", "non-dropping-particle" : "", "parse-names" : false, "suffix" : "" } ], "container-title" : "International Journal of Entrepreneurship and Small Business", "id" : "ITEM-1", "issue" : "4", "issued" : { "date-parts" : [ [ "2011" ] ] }, "title" : "Soft starters , research boutiques and product-oriented firms : different business models for spin-off companies", "type" : "article-journal", "volume" : "12" }, "uris" : [ "http://www.mendeley.com/documents/?uuid=bd91d257-c9f6-49ab-b9c2-f764e30ad0e2" ] } ], "mendeley" : { "previouslyFormattedCitation" : "(Helm &amp; Mauroner, 2011)" }, "properties" : { "noteIndex" : 0 }, "schema" : "https://github.com/citation-style-language/schema/raw/master/csl-citation.json" }</w:instrText>
      </w:r>
      <w:r w:rsidR="003B0D24" w:rsidRPr="005D10C1">
        <w:rPr>
          <w:rFonts w:ascii="Candara" w:hAnsi="Candara"/>
          <w:szCs w:val="22"/>
        </w:rPr>
        <w:fldChar w:fldCharType="separate"/>
      </w:r>
      <w:r w:rsidRPr="005D10C1">
        <w:rPr>
          <w:rFonts w:ascii="Candara" w:hAnsi="Candara"/>
          <w:noProof/>
          <w:szCs w:val="22"/>
        </w:rPr>
        <w:t>(Helm &amp; Mauroner, 2011)</w:t>
      </w:r>
      <w:r w:rsidR="003B0D24" w:rsidRPr="005D10C1">
        <w:rPr>
          <w:rFonts w:ascii="Candara" w:hAnsi="Candara"/>
          <w:szCs w:val="22"/>
        </w:rPr>
        <w:fldChar w:fldCharType="end"/>
      </w:r>
      <w:r w:rsidRPr="005D10C1">
        <w:rPr>
          <w:rFonts w:ascii="Candara" w:hAnsi="Candara"/>
          <w:szCs w:val="22"/>
        </w:rPr>
        <w:t xml:space="preserve">, las spin-off contribuyen al </w:t>
      </w:r>
      <w:r w:rsidRPr="005D10C1">
        <w:rPr>
          <w:rFonts w:ascii="Candara" w:hAnsi="Candara"/>
        </w:rPr>
        <w:t>desarrollo</w:t>
      </w:r>
      <w:r w:rsidRPr="005D10C1">
        <w:rPr>
          <w:rFonts w:ascii="Candara" w:hAnsi="Candara"/>
          <w:szCs w:val="22"/>
        </w:rPr>
        <w:t xml:space="preserve"> de clústeres regionales de alta tecnología, transforman las inversiones en ciencia básica en crecimiento económico, generan empleo, fortalecen la economía local y aumenta la ventaja competitiva  </w:t>
      </w:r>
      <w:r w:rsidR="003B0D24" w:rsidRPr="005D10C1">
        <w:rPr>
          <w:rFonts w:ascii="Candara" w:hAnsi="Candara"/>
          <w:szCs w:val="22"/>
        </w:rPr>
        <w:fldChar w:fldCharType="begin" w:fldLock="1"/>
      </w:r>
      <w:r w:rsidR="00CA1A09" w:rsidRPr="005D10C1">
        <w:rPr>
          <w:rFonts w:ascii="Candara" w:hAnsi="Candara"/>
          <w:szCs w:val="22"/>
        </w:rPr>
        <w:instrText>ADDIN CSL_CITATION { "citationItems" : [ { "id" : "ITEM-1", "itemData" : { "DOI" : "10.1007/s11365-007-0061-0", "ISBN" : "1136500700610", "ISSN" : "1554-7191", "author" : [ { "dropping-particle" : "", "family" : "G\u00f3mez", "given" : "Jos\u00e9 Mar\u00eda", "non-dropping-particle" : "", "parse-names" : false, "suffix" : "" }, { "dropping-particle" : "", "family" : "Galiana", "given" : "Domingo Rafael", "non-dropping-particle" : "", "parse-names" : false, "suffix" : "" }, { "dropping-particle" : "", "family" : "Mira", "given" : "Ignacio", "non-dropping-particle" : "", "parse-names" : false, "suffix" : "" }, { "dropping-particle" : "", "family" : "Verd\u00fa", "given" : "Antonio Jos\u00e9", "non-dropping-particle" : "", "parse-names" : false, "suffix" : "" }, { "dropping-particle" : "", "family" : "Sancho", "given" : "Javier", "non-dropping-particle" : "", "parse-names" : false, "suffix" : "" } ], "container-title" : "International Entrepreneurship and Management Journal", "id" : "ITEM-1", "issue" : "2", "issued" : { "date-parts" : [ [ "2007", "11", "14" ] ] }, "page" : "187-198", "title" : "An empirical approach to the organisational determinants of spin-off creation in European universities", "type" : "article-journal", "volume" : "4" }, "uris" : [ "http://www.mendeley.com/documents/?uuid=e1cb0f51-0c85-4349-871c-75fcaeb48a00" ] }, { "id" : "ITEM-2", "itemData" : { "author" : [ { "dropping-particle" : "", "family" : "Peng", "given" : "Xiaogang", "non-dropping-particle" : "", "parse-names" : false, "suffix" : "" } ], "container-title" : "Nature Materials", "id" : "ITEM-2", "issue" : "December", "issued" : { "date-parts" : [ [ "2006" ] ] }, "page" : "923-926", "title" : "Opportunity or challenge ?", "type" : "article-journal", "volume" : "5" }, "uris" : [ "http://www.mendeley.com/documents/?uuid=6fd0ebbf-73f1-479e-a59f-9a7a765eebd2" ] }, { "id" : "ITEM-3", "itemData" : { "DOI" : "10.1016/j.jbusvent.2005.02.005", "ISSN" : "08839026", "author" : [ { "dropping-particle" : "", "family" : "Walter", "given" : "A.", "non-dropping-particle" : "", "parse-names" : false, "suffix" : "" }, { "dropping-particle" : "", "family" : "Auer", "given" : "M.", "non-dropping-particle" : "", "parse-names" : false, "suffix" : "" }, { "dropping-particle" : "", "family" : "Ritter", "given" : "T.", "non-dropping-particle" : "", "parse-names" : false, "suffix" : "" } ], "container-title" : "Journal of Business Venturing", "id" : "ITEM-3", "issue" : "4", "issued" : { "date-parts" : [ [ "2006", "7" ] ] }, "page" : "541-567", "title" : "The impact of network capabilities and entrepreneurial orientation on university spin-off performance", "type" : "article-journal", "volume" : "21" }, "uris" : [ "http://www.mendeley.com/documents/?uuid=6a5349fe-6def-4cd6-ab5f-c3c9935217a8" ] }, { "id" : "ITEM-4", "itemData" : { "DOI" : "10.1016/j.technovation.2009.05.009", "ISSN" : "01664972", "author" : [ { "dropping-particle" : "", "family" : "Geenhuizen", "given" : "Marina", "non-dropping-particle" : "van", "parse-names" : false, "suffix" : "" }, { "dropping-particle" : "", "family" : "Soetanto", "given" : "Danny P.", "non-dropping-particle" : "", "parse-names" : false, "suffix" : "" } ], "container-title" : "Technovation", "id" : "ITEM-4", "issue" : "10", "issued" : { "date-parts" : [ [ "2009", "10" ] ] }, "page" : "671-681", "publisher" : "Elsevier", "title" : "Academic spin-offs at different ages: A case study in search of key obstacles to growth", "type" : "article-journal", "volume" : "29" }, "uris" : [ "http://www.mendeley.com/documents/?uuid=9c0c29a6-8e2b-46ad-94c8-9af7b4615049" ] } ], "mendeley" : { "previouslyFormattedCitation" : "(G\u00f3mez, Galiana, Mira, Verd\u00fa, &amp; Sancho, 2007; Peng, 2006; van Geenhuizen &amp; Soetanto, 2009; Walter, Auer, &amp; Ritter, 2006)" }, "properties" : { "noteIndex" : 0 }, "schema" : "https://github.com/citation-style-language/schema/raw/master/csl-citation.json" }</w:instrText>
      </w:r>
      <w:r w:rsidR="003B0D24" w:rsidRPr="005D10C1">
        <w:rPr>
          <w:rFonts w:ascii="Candara" w:hAnsi="Candara"/>
          <w:szCs w:val="22"/>
        </w:rPr>
        <w:fldChar w:fldCharType="separate"/>
      </w:r>
      <w:r w:rsidRPr="005D10C1">
        <w:rPr>
          <w:rFonts w:ascii="Candara" w:hAnsi="Candara"/>
          <w:noProof/>
          <w:szCs w:val="22"/>
        </w:rPr>
        <w:t>(Gómez, Galiana, Mira, Verdú, &amp; Sancho, 2007; Peng, 2006; van Geenhuizen &amp; Soetanto, 2009; Walter, Auer, &amp; Ritter, 2006)</w:t>
      </w:r>
      <w:r w:rsidR="003B0D24" w:rsidRPr="005D10C1">
        <w:rPr>
          <w:rFonts w:ascii="Candara" w:hAnsi="Candara"/>
          <w:szCs w:val="22"/>
        </w:rPr>
        <w:fldChar w:fldCharType="end"/>
      </w:r>
      <w:r w:rsidRPr="005D10C1">
        <w:rPr>
          <w:rFonts w:ascii="Candara" w:hAnsi="Candara"/>
        </w:rPr>
        <w:t xml:space="preserve">. </w:t>
      </w:r>
    </w:p>
    <w:p w14:paraId="72BAB4CF" w14:textId="77777777" w:rsidR="0003079D" w:rsidRPr="005D10C1" w:rsidRDefault="0003079D" w:rsidP="00392712">
      <w:pPr>
        <w:spacing w:line="360" w:lineRule="auto"/>
        <w:rPr>
          <w:rFonts w:ascii="Candara" w:hAnsi="Candara"/>
        </w:rPr>
      </w:pPr>
    </w:p>
    <w:p w14:paraId="7FB76055" w14:textId="77777777" w:rsidR="00392712" w:rsidRPr="005D10C1" w:rsidRDefault="00392712" w:rsidP="00392712">
      <w:pPr>
        <w:spacing w:line="360" w:lineRule="auto"/>
        <w:rPr>
          <w:rFonts w:ascii="Candara" w:hAnsi="Candara"/>
        </w:rPr>
      </w:pPr>
      <w:r w:rsidRPr="005D10C1">
        <w:rPr>
          <w:rFonts w:ascii="Candara" w:hAnsi="Candara"/>
        </w:rPr>
        <w:t xml:space="preserve">Las </w:t>
      </w:r>
      <w:r w:rsidRPr="005D10C1">
        <w:rPr>
          <w:rFonts w:ascii="Candara" w:hAnsi="Candara"/>
          <w:i/>
        </w:rPr>
        <w:t>spin-offs</w:t>
      </w:r>
      <w:r w:rsidRPr="005D10C1">
        <w:rPr>
          <w:rFonts w:ascii="Candara" w:hAnsi="Candara"/>
        </w:rPr>
        <w:t xml:space="preserve"> </w:t>
      </w:r>
      <w:r w:rsidR="009D37DE" w:rsidRPr="005D10C1">
        <w:rPr>
          <w:rFonts w:ascii="Candara" w:hAnsi="Candara"/>
        </w:rPr>
        <w:t xml:space="preserve">es un </w:t>
      </w:r>
      <w:r w:rsidR="00194C82" w:rsidRPr="005D10C1">
        <w:rPr>
          <w:rFonts w:ascii="Candara" w:hAnsi="Candara"/>
        </w:rPr>
        <w:t xml:space="preserve">mecanismo </w:t>
      </w:r>
      <w:r w:rsidR="009D37DE" w:rsidRPr="005D10C1">
        <w:rPr>
          <w:rFonts w:ascii="Candara" w:hAnsi="Candara"/>
        </w:rPr>
        <w:t xml:space="preserve">de alta </w:t>
      </w:r>
      <w:r w:rsidR="00194C82" w:rsidRPr="005D10C1">
        <w:rPr>
          <w:rFonts w:ascii="Candara" w:hAnsi="Candara"/>
        </w:rPr>
        <w:t>complej</w:t>
      </w:r>
      <w:r w:rsidR="009D37DE" w:rsidRPr="005D10C1">
        <w:rPr>
          <w:rFonts w:ascii="Candara" w:hAnsi="Candara"/>
        </w:rPr>
        <w:t>idad</w:t>
      </w:r>
      <w:r w:rsidR="00194C82" w:rsidRPr="005D10C1">
        <w:rPr>
          <w:rFonts w:ascii="Candara" w:hAnsi="Candara"/>
        </w:rPr>
        <w:t xml:space="preserve"> de transferencia de tecnología, dado que </w:t>
      </w:r>
      <w:r w:rsidR="00921B13" w:rsidRPr="005D10C1">
        <w:rPr>
          <w:rFonts w:ascii="Candara" w:hAnsi="Candara"/>
        </w:rPr>
        <w:t xml:space="preserve">requiere no sólo que se </w:t>
      </w:r>
      <w:r w:rsidR="00183984" w:rsidRPr="005D10C1">
        <w:rPr>
          <w:rFonts w:ascii="Candara" w:hAnsi="Candara"/>
        </w:rPr>
        <w:t xml:space="preserve">transfiera la tecnología </w:t>
      </w:r>
      <w:r w:rsidR="00183984" w:rsidRPr="005D10C1">
        <w:rPr>
          <w:rFonts w:ascii="Candara" w:hAnsi="Candara"/>
          <w:i/>
        </w:rPr>
        <w:t>per se</w:t>
      </w:r>
      <w:r w:rsidR="00921B13" w:rsidRPr="005D10C1">
        <w:rPr>
          <w:rFonts w:ascii="Candara" w:hAnsi="Candara"/>
        </w:rPr>
        <w:t xml:space="preserve"> sino que se constituya una organización empresarial que realizará la explotación</w:t>
      </w:r>
      <w:r w:rsidR="0076661F" w:rsidRPr="005D10C1">
        <w:rPr>
          <w:rFonts w:ascii="Candara" w:hAnsi="Candara"/>
        </w:rPr>
        <w:t xml:space="preserve"> comercial</w:t>
      </w:r>
      <w:r w:rsidR="00921B13" w:rsidRPr="005D10C1">
        <w:rPr>
          <w:rFonts w:ascii="Candara" w:hAnsi="Candara"/>
        </w:rPr>
        <w:t xml:space="preserve"> de la nueva tecnología, con todo lo que ello conlleva.</w:t>
      </w:r>
    </w:p>
    <w:p w14:paraId="38F795E4" w14:textId="77777777" w:rsidR="00392712" w:rsidRPr="005D10C1" w:rsidRDefault="00392712" w:rsidP="00392712">
      <w:pPr>
        <w:spacing w:line="360" w:lineRule="auto"/>
        <w:rPr>
          <w:rFonts w:ascii="Candara" w:hAnsi="Candara" w:cstheme="minorHAnsi"/>
          <w:lang w:val="es-ES"/>
        </w:rPr>
      </w:pPr>
    </w:p>
    <w:p w14:paraId="0D3E0CCB" w14:textId="77777777" w:rsidR="0069284E" w:rsidRPr="005D10C1" w:rsidRDefault="0069284E" w:rsidP="00392712">
      <w:pPr>
        <w:spacing w:line="360" w:lineRule="auto"/>
        <w:rPr>
          <w:rFonts w:ascii="Candara" w:hAnsi="Candara" w:cs="Arial"/>
        </w:rPr>
      </w:pPr>
    </w:p>
    <w:p w14:paraId="207D8DBB" w14:textId="77777777" w:rsidR="00C815FD" w:rsidRPr="005D10C1" w:rsidRDefault="00392712">
      <w:pPr>
        <w:pStyle w:val="Ttulo2"/>
        <w:rPr>
          <w:rFonts w:ascii="Candara" w:hAnsi="Candara"/>
          <w:color w:val="auto"/>
        </w:rPr>
      </w:pPr>
      <w:bookmarkStart w:id="7" w:name="_Toc377653141"/>
      <w:r w:rsidRPr="005D10C1">
        <w:rPr>
          <w:rFonts w:ascii="Candara" w:hAnsi="Candara"/>
          <w:color w:val="auto"/>
        </w:rPr>
        <w:t xml:space="preserve">Tipologías y definición de </w:t>
      </w:r>
      <w:r w:rsidRPr="005D10C1">
        <w:rPr>
          <w:rFonts w:ascii="Candara" w:hAnsi="Candara"/>
          <w:i/>
          <w:color w:val="auto"/>
        </w:rPr>
        <w:t>spin-off</w:t>
      </w:r>
      <w:bookmarkEnd w:id="7"/>
    </w:p>
    <w:p w14:paraId="0BB30B70" w14:textId="77777777" w:rsidR="00392712" w:rsidRPr="005D10C1" w:rsidRDefault="00392712" w:rsidP="00392712">
      <w:pPr>
        <w:spacing w:line="360" w:lineRule="auto"/>
        <w:rPr>
          <w:rFonts w:ascii="Candara" w:hAnsi="Candara"/>
        </w:rPr>
      </w:pPr>
    </w:p>
    <w:p w14:paraId="6ECA8C9E" w14:textId="77777777" w:rsidR="004A7336" w:rsidRPr="005D10C1" w:rsidRDefault="00F46DCC" w:rsidP="00392712">
      <w:pPr>
        <w:spacing w:line="360" w:lineRule="auto"/>
        <w:rPr>
          <w:rFonts w:ascii="Candara" w:hAnsi="Candara" w:cs="Arial"/>
        </w:rPr>
      </w:pPr>
      <w:r w:rsidRPr="005D10C1">
        <w:rPr>
          <w:rFonts w:ascii="Candara" w:hAnsi="Candara" w:cs="Arial"/>
        </w:rPr>
        <w:t xml:space="preserve">La complejidad del fenómeno spin-off ha generado distintas definiciones alrededor del tema que, incluso, han derivado en la propuesta de diversas tipologías </w:t>
      </w:r>
      <w:r w:rsidR="003B0D24" w:rsidRPr="005D10C1">
        <w:rPr>
          <w:rFonts w:ascii="Candara" w:hAnsi="Candara" w:cs="Arial"/>
        </w:rPr>
        <w:fldChar w:fldCharType="begin" w:fldLock="1"/>
      </w:r>
      <w:r w:rsidR="00CA1A09" w:rsidRPr="005D10C1">
        <w:rPr>
          <w:rFonts w:ascii="Candara" w:hAnsi="Candara" w:cs="Arial"/>
        </w:rPr>
        <w:instrText>ADDIN CSL_CITATION { "citationItems" : [ { "id" : "ITEM-1", "itemData" : { "DOI" : "10.1109/IEMCE.2008.4617984", "ISBN" : "978-1-4244-2288-3", "author" : [ { "dropping-particle" : "", "family" : "Trott", "given" : "Paul", "non-dropping-particle" : "", "parse-names" : false, "suffix" : "" }, { "dropping-particle" : "", "family" : "Scholten", "given" : "Victor E.", "non-dropping-particle" : "", "parse-names" : false, "suffix" : "" }, { "dropping-particle" : "", "family" : "Hartmann", "given" : "Dap", "non-dropping-particle" : "", "parse-names" : false, "suffix" : "" } ], "container-title" : "2008 IEEE International Engineering Management Conference", "id" : "ITEM-1", "issued" : { "date-parts" : [ [ "2008", "6" ] ] }, "page" : "1-5", "publisher" : "Ieee", "title" : "How university incubators may be overprotective and hindering the success of the young firm: Findings from a preliminary study", "type" : "article-journal" }, "uris" : [ "http://www.mendeley.com/documents/?uuid=f971f2ee-20b3-49f4-a05c-5b00cc9a264d" ] }, { "id" : "ITEM-2", "itemData" : { "DOI" : "10.1016/j.technovation.2010.04.003", "ISSN" : "01664972", "author" : [ { "dropping-particle" : "", "family" : "Bathelt", "given" : "Harald", "non-dropping-particle" : "", "parse-names" : false, "suffix" : "" }, { "dropping-particle" : "", "family" : "Kogler", "given" : "Dieter F.", "non-dropping-particle" : "", "parse-names" : false, "suffix" : "" }, { "dropping-particle" : "", "family" : "Munro", "given" : "Andrew K.", "non-dropping-particle" : "", "parse-names" : false, "suffix" : "" } ], "container-title" : "Technovation", "id" : "ITEM-2", "issue" : "9-10", "issued" : { "date-parts" : [ [ "2010", "9" ] ] }, "page" : "519-532", "publisher" : "Elsevier", "title" : "A knowledge-based typology of university spin-offs in the context of regional economic development", "type" : "article-journal", "volume" : "30" }, "uris" : [ "http://www.mendeley.com/documents/?uuid=e3c204e3-9e22-4c5f-8d24-6c668a03b1b5" ] }, { "id" : "ITEM-3", "itemData" : { "ISBN" : "1 84376 454 7 (cased)", "author" : [ { "dropping-particle" : "", "family" : "Shane", "given" : "Scott Andrew", "non-dropping-particle" : "", "parse-names" : false, "suffix" : "" } ], "id" : "ITEM-3", "issued" : { "date-parts" : [ [ "2004" ] ] }, "page" : "335", "publisher" : "Edward Elgar Publishing Limited", "publisher-place" : "Cheltenham", "title" : "Academic entrepreneurship: University spinoffs and wealth creation", "type" : "book" }, "uris" : [ "http://www.mendeley.com/documents/?uuid=19de7b78-f5da-4230-9553-a2ed133a1170" ] }, { "id" : "ITEM-4", "itemData" : { "DOI" : "10.1016/j.technovation.2009.05.009", "ISSN" : "01664972", "author" : [ { "dropping-particle" : "", "family" : "Geenhuizen", "given" : "Marina", "non-dropping-particle" : "van", "parse-names" : false, "suffix" : "" }, { "dropping-particle" : "", "family" : "Soetanto", "given" : "Danny P.", "non-dropping-particle" : "", "parse-names" : false, "suffix" : "" } ], "container-title" : "Technovation", "id" : "ITEM-4", "issue" : "10", "issued" : { "date-parts" : [ [ "2009", "10" ] ] }, "page" : "671-681", "publisher" : "Elsevier", "title" : "Academic spin-offs at different ages: A case study in search of key obstacles to growth", "type" : "article-journal", "volume" : "29" }, "uris" : [ "http://www.mendeley.com/documents/?uuid=9c0c29a6-8e2b-46ad-94c8-9af7b4615049" ] }, { "id" : "ITEM-5", "itemData" : { "DOI" : "10.1109/IEMC.2005.1559223", "ISBN" : "0-7803-9139-X", "author" : [ { "dropping-particle" : "", "family" : "Muegge", "given" : "S.", "non-dropping-particle" : "", "parse-names" : false, "suffix" : "" }, { "dropping-particle" : "", "family" : "Sharma", "given" : "M.", "non-dropping-particle" : "", "parse-names" : false, "suffix" : "" }, { "dropping-particle" : "", "family" : "Kumar", "given" : "U.", "non-dropping-particle" : "", "parse-names" : false, "suffix" : "" } ], "container-title" : "Proceedings. 2005 IEEE International Engineering Management Conference, 2005.", "id" : "ITEM-5", "issued" : { "date-parts" : [ [ "2005" ] ] }, "page" : "626-631", "publisher" : "Ieee", "title" : "An exploratory study of new product development at small university spin-offs", "type" : "article-journal", "volume" : "2" }, "uris" : [ "http://www.mendeley.com/documents/?uuid=45b06f57-f640-4462-a7e7-df84543a8119" ] }, { "id" : "ITEM-6", "itemData" : { "DOI" : "10.1016/j.respol.2011.05.010", "ISSN" : "00487333", "author" : [ { "dropping-particle" : "", "family" : "Clarysse", "given" : "Bart", "non-dropping-particle" : "", "parse-names" : false, "suffix" : "" }, { "dropping-particle" : "", "family" : "Tartari", "given" : "Valentina", "non-dropping-particle" : "", "parse-names" : false, "suffix" : "" }, { "dropping-particle" : "", "family" : "Salter", "given" : "Ammon", "non-dropping-particle" : "", "parse-names" : false, "suffix" : "" } ], "container-title" : "Research Policy", "id" : "ITEM-6", "issue" : "8", "issued" : { "date-parts" : [ [ "2011", "10" ] ] }, "page" : "1084-1093", "publisher" : "Elsevier B.V.", "title" : "The impact of entrepreneurial capacity, experience and organizational support on academic entrepreneurship", "type" : "article-journal", "volume" : "40" }, "uris" : [ "http://www.mendeley.com/documents/?uuid=9351d3be-5840-4ab7-9a27-c5a0835e7bf3" ] }, { "id" : "ITEM-7", "itemData" : { "abstract" : "We consider the managerial and policy implications of the rise of spin-offs at public research institutions (PRIs), based on a knowledge-based view (KBV) of the firm. This framework highlights the importance of knowledge in the creation and development of spin-offs. We argue that in order to understand the development of spin-offs, researchers should focus on \"knowledge gaps\" these new ventures encounter. Knowledge gaps can occur at different levels of aggregation, including the PRI, spin-off, team, individual, incubator, and at different stages of spin-off development. Based on this framework, we synthesize findings from previous studies and papers in the special issue and offer some suggestions for additional research on spin-offs from PRIs. \u00a9 2005 Elsevier B.V. All rights reserved.", "author" : [ { "dropping-particle" : "", "family" : "Lockett", "given" : "Andy", "non-dropping-particle" : "", "parse-names" : false, "suffix" : "" }, { "dropping-particle" : "", "family" : "Siegel", "given" : "Donald", "non-dropping-particle" : "", "parse-names" : false, "suffix" : "" }, { "dropping-particle" : "", "family" : "Wright", "given" : "Mike", "non-dropping-particle" : "", "parse-names" : false, "suffix" : "" }, { "dropping-particle" : "", "family" : "Ensley", "given" : "Michael", "non-dropping-particle" : "", "parse-names" : false, "suffix" : "" } ], "container-title" : "Research Policy", "id" : "ITEM-7", "issue" : "7", "issued" : { "date-parts" : [ [ "2005" ] ] }, "page" : "981-993", "title" : "The creation of spin-off firms at public research institutions: Managerial and policy implications", "type" : "article-journal", "volume" : "34" }, "uris" : [ "http://www.mendeley.com/documents/?uuid=85201969-0895-4850-ab3d-b5388cbc1449" ] }, { "id" : "ITEM-8", "itemData" : { "author" : [ { "dropping-particle" : "", "family" : "Wright", "given" : "Mike", "non-dropping-particle" : "", "parse-names" : false, "suffix" : "" }, { "dropping-particle" : "", "family" : "Lockett", "given" : "Andy", "non-dropping-particle" : "", "parse-names" : false, "suffix" : "" } ], "container-title" : "Research Policy", "id" : "ITEM-8", "issued" : { "date-parts" : [ [ "2006" ] ] }, "title" : "University spin-out companies and venture capital", "type" : "article-journal" }, "uris" : [ "http://www.mendeley.com/documents/?uuid=44112f0e-eb2e-4561-af11-4d456473c69b" ] }, { "id" : "ITEM-9", "itemData" : { "author" : [ { "dropping-particle" : "", "family" : "McQueen", "given" : "D.H", "non-dropping-particle" : "", "parse-names" : false, "suffix" : "" }, { "dropping-particle" : "", "family" : "Wallmark", "given" : "J.T", "non-dropping-particle" : "", "parse-names" : false, "suffix" : "" } ], "container-title" : "Technovation", "id" : "ITEM-9", "issued" : { "date-parts" : [ [ "1982" ] ] }, "title" : "Spin-off companies from Chalmers University of Technology", "type" : "article-journal" }, "uris" : [ "http://www.mendeley.com/documents/?uuid=d9d0ef53-474e-4e6c-af22-9d9a5ec86326" ] }, { "id" : "ITEM-10", "itemData" : { "author" : [ { "dropping-particle" : "", "family" : "Raday", "given" : "Gabor", "non-dropping-particle" : "", "parse-names" : false, "suffix" : "" } ], "container-title" : "Quantitative Finance", "id" : "ITEM-10", "issued" : { "date-parts" : [ [ "2008" ] ] }, "note" : "        From Duplicate 1 (                   Academic Spin-off Ventures and Corporate Spin-off Firms at the High-Tech Industries                 - Raday, Gabor )\n                \n        \n        \n        From Duplicate 2 (                   Academic Spin-off Ventures and Corporate Spin-off Firms at the High-Tech Industries                 - Raday, Gabor )\n                \nSeis aspectos fueron investigados: raz\u00f3n de ser, gesti\u00f3n, inversi\u00f3n, redes, locaci\u00f3n y relaci\u00f3n con la PI (Propiedad Intelectual).           \n                \nEnfoques de qu\u00e9 forma se definen las spin-off:           \nSpin-off se puede definir como una compa\u00f1\u00eda que fund\u00f3 para los siguientes prop\u00f3sitos: \n\u00b7\u00a0\u00a0\u00a0\u00a0\u00a0\u00a0\u00a0\u00a0 Tipo 1: licenciar la tecnolog\u00eda de la instituci\u00f3n; \n\u00b7\u00a0\u00a0\u00a0\u00a0\u00a0\u00a0\u00a0\u00a0 Tipo 2: financiar la investigaci\u00f3n de la instituci\u00f3n con el fin de desarrollar tecnolog\u00edas que se licencia por la empresa; \n\u00b7\u00a0\u00a0\u00a0\u00a0\u00a0\u00a0\u00a0\u00a0 Tipo 3: Proporcionar un servicio que fue ofrecido originalmente a trav\u00e9s del departamento de una instituci\u00f3n o de la unidad \" \nEnfoque simple de Cooper (2001) es que las empresas spin-off son especializadas en la comercializaci\u00f3n de la tecnolog\u00eda que pertenece a las universidades o a los investigadores universitarios \n        \n      ", "title" : "Academic Spin-off Ventures and Corporate Spin-off Firms at the High-Tech Industries", "type" : "article-journal" }, "uris" : [ "http://www.mendeley.com/documents/?uuid=6d82fc9f-da35-461a-bd15-e8d760496802" ] }, { "id" : "ITEM-11", "itemData" : { "author" : [ { "dropping-particle" : "", "family" : "Beraza", "given" : "Jos\u00e9 Mar\u00eda", "non-dropping-particle" : "", "parse-names" : false, "suffix" : "" } ], "id" : "ITEM-11", "issue" : "C", "issued" : { "date-parts" : [ [ "2010" ] ] }, "page" : "1021", "publisher" : "Universidad del Pa\u00eds Vasco", "title" : "Los programas de apoyo a la creaci\u00f3n de spin-offs acad\u00e9micas en las universidades espa\u00f1olas: una comparaci\u00f3n internacional", "type" : "thesis", "volume" : "2010" }, "uris" : [ "http://www.mendeley.com/documents/?uuid=dd3c0ee1-2100-4b18-a4fc-40c68b897782" ] }, { "id" : "ITEM-12", "itemData" : { "author" : [ { "dropping-particle" : "", "family" : "Iglesias", "given" : "PP", "non-dropping-particle" : "", "parse-names" : false, "suffix" : "" } ], "id" : "ITEM-12", "issued" : { "date-parts" : [ [ "2010" ] ] }, "page" : "426", "publisher" : "Universidad de M\u00e1laga", "title" : "Las Spin-Off Universitarias como mecanismo de transferencia de tecnolog\u00eda y su impacto econ\u00f3mico en base a la actividad de I+ D+ i", "type" : "thesis" }, "uris" : [ "http://www.mendeley.com/documents/?uuid=a77e8b48-998f-4144-8131-0fb71f159288" ] }, { "id" : "ITEM-13", "itemData" : { "author" : [ { "dropping-particle" : "", "family" : "Clarysse", "given" : "Bart", "non-dropping-particle" : "", "parse-names" : false, "suffix" : "" } ], "container-title" : "Workshop OECD", "id" : "ITEM-13", "issued" : { "date-parts" : [ [ "2000" ] ] }, "title" : "Spin-Off formation across Europe", "type" : "article-journal" }, "uris" : [ "http://www.mendeley.com/documents/?uuid=4281f3b3-d262-4035-a190-e569511d6496" ] }, { "id" : "ITEM-14", "itemData" : { "author" : [ { "dropping-particle" : "", "family" : "Wallin", "given" : "MW", "non-dropping-particle" : "", "parse-names" : false, "suffix" : "" }, { "dropping-particle" : "", "family" : "Dahlstrand", "given" : "\u00c5 Lindholm", "non-dropping-particle" : "", "parse-names" : false, "suffix" : "" } ], "container-title" : "Technovation", "id" : "ITEM-14", "issued" : { "date-parts" : [ [ "2006" ] ] }, "title" : "Sponsored spin-offs, industrial growth and change", "type" : "article-journal" }, "uris" : [ "http://www.mendeley.com/documents/?uuid=35cb1c72-9f63-4bf9-9c71-9bb77764d87c" ] }, { "id" : "ITEM-15", "itemData" : { "DOI" : "10.1111/j.1467-9310.1988.tb00609.x", "ISSN" : "0033-6807", "author" : [ { "dropping-particle" : "", "family" : "Dierdonck", "given" : "R.", "non-dropping-particle" : "Van", "parse-names" : false, "suffix" : "" }, { "dropping-particle" : "", "family" : "Debackere", "given" : "K.", "non-dropping-particle" : "", "parse-names" : false, "suffix" : "" } ], "container-title" : "R&amp;D Management", "id" : "ITEM-15", "issue" : "4", "issued" : { "date-parts" : [ [ "1988", "10" ] ] }, "page" : "341-353", "title" : "Academic entrepreneurship at Belgian Universities", "type" : "article-journal", "volume" : "18" }, "uris" : [ "http://www.mendeley.com/documents/?uuid=9cf291c9-ea80-4f48-84b7-12abdd52c3fe" ] }, { "id" : "ITEM-16", "itemData" : { "author" : [ { "dropping-particle" : "", "family" : "Nicolaou", "given" : "N", "non-dropping-particle" : "", "parse-names" : false, "suffix" : "" }, { "dropping-particle" : "", "family" : "Birley", "given" : "S", "non-dropping-particle" : "", "parse-names" : false, "suffix" : "" } ], "container-title" : "Frontiers of Entrepreneurship Research, Babson  \u2026", "id" : "ITEM-16", "issued" : { "date-parts" : [ [ "2002" ] ] }, "title" : "Academic networds, exodus and university spinout structure", "type" : "article-journal" }, "uris" : [ "http://www.mendeley.com/documents/?uuid=31b05c5a-6a9e-4afd-8252-277777663253" ] }, { "id" : "ITEM-17", "itemData" : { "DOI" : "10.1016/j.jbusvent.2004.07.002", "ISSN" : "08839026", "author" : [ { "dropping-particle" : "", "family" : "Grandi", "given" : "", "non-dropping-particle" : "", "parse-names" : false, "suffix" : "" }, { "dropping-particle" : "", "family" : "Grimaldi", "given" : "Rosa", "non-dropping-particle" : "", "parse-names" : false, "suffix" : "" } ], "container-title" : "Journal of Business Venturing", "id" : "ITEM-17", "issue" : "6", "issued" : { "date-parts" : [ [ "2005", "11" ] ] }, "page" : "821-845", "title" : "Academics' organizational characteristics and the generation of successful business ideas", "type" : "article-journal", "volume" : "20" }, "uris" : [ "http://www.mendeley.com/documents/?uuid=8d803696-783e-422d-abe7-93e9d40872e4" ] } ], "mendeley" : { "manualFormatting" : "(Bathelt, Kogler, &amp; Munro, 2010; Beraza, 2010a; Clarysse, Tartari, &amp; Salter, 2011; Clarysse, 2000; Grandi &amp; Grimaldi, 2005; Iglesias, 2010; Lockett, Siegel, Wright, &amp; Ensley, 2005a; McQueen &amp; Wallmark, 1982; Muegge, Sharma, &amp; Kumar, 2005; Nicolaou &amp;Birley, 2002; Raday, 2008; Shane, 2004; Trott, Scholten, &amp; Hartmann, 2008; Van Dierdonck &amp; Debackere, 1988; van Geenhuizen &amp; Soetanto, 2009; Wallin &amp; Dahlstrand, 2006; Wright &amp; Lockett, 2006)", "previouslyFormattedCitation" : "(Bathelt, Kogler, &amp; Munro, 2010; Beraza, 2010; Clarysse, Tartari, &amp; Salter, 2011; Clarysse, 2000; Grandi &amp; Grimaldi, 2005; Iglesias, 2010; Lockett, Siegel, Wright, &amp; Ensley, 2005a; McQueen &amp; Wallmark, 1982; Muegge, Sharma, &amp; Kumar, 2005; Nicolaou &amp; Birley, 2002; Raday, 2008; Shane, 2004; Trott, Scholten, &amp; Hartmann, 2008; Van Dierdonck &amp; Debackere, 1988; van Geenhuizen &amp; Soetanto, 2009; Wallin &amp; Dahlstrand, 2006; Wright &amp; Lockett, 2006)" }, "properties" : { "noteIndex" : 0 }, "schema" : "https://github.com/citation-style-language/schema/raw/master/csl-citation.json" }</w:instrText>
      </w:r>
      <w:r w:rsidR="003B0D24" w:rsidRPr="005D10C1">
        <w:rPr>
          <w:rFonts w:ascii="Candara" w:hAnsi="Candara" w:cs="Arial"/>
        </w:rPr>
        <w:fldChar w:fldCharType="separate"/>
      </w:r>
      <w:r w:rsidR="008F6ADD" w:rsidRPr="005D10C1">
        <w:rPr>
          <w:rFonts w:ascii="Candara" w:hAnsi="Candara" w:cs="Arial"/>
          <w:noProof/>
        </w:rPr>
        <w:t xml:space="preserve">(Bathelt, Kogler, </w:t>
      </w:r>
      <w:r w:rsidR="008F6ADD" w:rsidRPr="005D10C1">
        <w:rPr>
          <w:rFonts w:ascii="Candara" w:hAnsi="Candara" w:cs="Arial"/>
          <w:noProof/>
        </w:rPr>
        <w:lastRenderedPageBreak/>
        <w:t>&amp; Munro, 2010; Beraza, 2010</w:t>
      </w:r>
      <w:r w:rsidR="008F6ADD" w:rsidRPr="00AC592C">
        <w:rPr>
          <w:rFonts w:ascii="Candara" w:hAnsi="Candara" w:cs="Arial"/>
          <w:noProof/>
          <w:highlight w:val="yellow"/>
        </w:rPr>
        <w:t>a</w:t>
      </w:r>
      <w:r w:rsidR="008F6ADD" w:rsidRPr="005D10C1">
        <w:rPr>
          <w:rFonts w:ascii="Candara" w:hAnsi="Candara" w:cs="Arial"/>
          <w:noProof/>
        </w:rPr>
        <w:t>; Clarysse, Tartari, &amp; Salter, 2011; Clarysse, 2000; Grandi &amp; Grimaldi, 2005; Iglesias, 2010; Lockett, Siegel, Wright, &amp; Ensley, 2005</w:t>
      </w:r>
      <w:r w:rsidR="008F6ADD" w:rsidRPr="00AC592C">
        <w:rPr>
          <w:rFonts w:ascii="Candara" w:hAnsi="Candara" w:cs="Arial"/>
          <w:noProof/>
          <w:highlight w:val="yellow"/>
        </w:rPr>
        <w:t>a</w:t>
      </w:r>
      <w:r w:rsidR="008F6ADD" w:rsidRPr="005D10C1">
        <w:rPr>
          <w:rFonts w:ascii="Candara" w:hAnsi="Candara" w:cs="Arial"/>
          <w:noProof/>
        </w:rPr>
        <w:t>; McQueen &amp; Wallmark, 1982; Muegge, Sharma, &amp; Kumar, 2005; Nicolaou &amp;Birley, 2002; Raday, 2008; Shane, 2004; Trott, Scholten, &amp; Hartmann, 2008; Van Dierdonck &amp; Debackere, 1988; van Geenhuizen &amp; Soetanto, 2009; Wallin &amp; Dahlstrand, 2006; Wright &amp; Lockett, 2006)</w:t>
      </w:r>
      <w:r w:rsidR="003B0D24" w:rsidRPr="005D10C1">
        <w:rPr>
          <w:rFonts w:ascii="Candara" w:hAnsi="Candara" w:cs="Arial"/>
        </w:rPr>
        <w:fldChar w:fldCharType="end"/>
      </w:r>
      <w:r w:rsidR="00552BBB" w:rsidRPr="005D10C1">
        <w:rPr>
          <w:rFonts w:ascii="Candara" w:hAnsi="Candara" w:cs="Arial"/>
        </w:rPr>
        <w:t>, lo cual supone que las spin-offs son un grupo heterogéneo de empresas</w:t>
      </w:r>
      <w:r w:rsidR="000D3752" w:rsidRPr="005D10C1">
        <w:rPr>
          <w:rFonts w:ascii="Candara" w:hAnsi="Candara" w:cs="Arial"/>
        </w:rPr>
        <w:t xml:space="preserve"> por lo cual es necesario precisar cuáles son </w:t>
      </w:r>
      <w:r w:rsidRPr="005D10C1">
        <w:rPr>
          <w:rFonts w:ascii="Candara" w:hAnsi="Candara" w:cs="Arial"/>
        </w:rPr>
        <w:t>de interés para este proyecto.</w:t>
      </w:r>
    </w:p>
    <w:p w14:paraId="6B818DCB" w14:textId="77777777" w:rsidR="00552BBB" w:rsidRPr="005D10C1" w:rsidRDefault="00552BBB" w:rsidP="00392712">
      <w:pPr>
        <w:spacing w:line="360" w:lineRule="auto"/>
        <w:rPr>
          <w:rFonts w:ascii="Candara" w:hAnsi="Candara" w:cs="Arial"/>
        </w:rPr>
      </w:pPr>
    </w:p>
    <w:p w14:paraId="6429A373" w14:textId="77777777" w:rsidR="000D3752" w:rsidRPr="005D10C1" w:rsidRDefault="00552BBB" w:rsidP="00552BBB">
      <w:pPr>
        <w:spacing w:line="360" w:lineRule="auto"/>
        <w:rPr>
          <w:rFonts w:ascii="Candara" w:hAnsi="Candara" w:cs="Arial"/>
        </w:rPr>
      </w:pPr>
      <w:r w:rsidRPr="005D10C1">
        <w:rPr>
          <w:rFonts w:ascii="Candara" w:hAnsi="Candara" w:cs="Arial"/>
        </w:rPr>
        <w:t xml:space="preserve">El término “spin-off” en la literatura tradicional se ha empleado para referirse a empresas creadas por </w:t>
      </w:r>
      <w:commentRangeStart w:id="8"/>
      <w:r w:rsidRPr="005D10C1">
        <w:rPr>
          <w:rFonts w:ascii="Candara" w:hAnsi="Candara" w:cs="Arial"/>
        </w:rPr>
        <w:t>empleados</w:t>
      </w:r>
      <w:commentRangeEnd w:id="8"/>
      <w:r w:rsidR="00C7596F">
        <w:rPr>
          <w:rStyle w:val="Refdecomentario"/>
          <w:rFonts w:cstheme="minorBidi"/>
        </w:rPr>
        <w:commentReference w:id="8"/>
      </w:r>
      <w:r w:rsidRPr="005D10C1">
        <w:rPr>
          <w:rFonts w:ascii="Candara" w:hAnsi="Candara" w:cs="Arial"/>
        </w:rPr>
        <w:t xml:space="preserve"> de una organización previamente existente, también conocida como organización madre u organización incubadora; y cuyo proceso productivo se basa en el conocimiento desarrollado dentro de dicha organización </w:t>
      </w:r>
      <w:r w:rsidR="003B0D24" w:rsidRPr="005D10C1">
        <w:rPr>
          <w:rFonts w:ascii="Candara" w:hAnsi="Candara" w:cs="Arial"/>
        </w:rPr>
        <w:fldChar w:fldCharType="begin" w:fldLock="1"/>
      </w:r>
      <w:r w:rsidR="00CA1A09" w:rsidRPr="005D10C1">
        <w:rPr>
          <w:rFonts w:ascii="Candara" w:hAnsi="Candara" w:cs="Arial"/>
        </w:rPr>
        <w:instrText>ADDIN CSL_CITATION { "citationItems" : [ { "id" : "ITEM-1", "itemData" : { "author" : [ { "dropping-particle" : "", "family" : "Condom", "given" : "P", "non-dropping-particle" : "", "parse-names" : false, "suffix" : "" } ], "id" : "ITEM-1", "issued" : { "date-parts" : [ [ "2003" ] ] }, "publisher" : "Universitat de Girona", "title" : "Transfer\u00e8ncia de tecnologia universit\u00e0ria. Modalitat i estrat\u00e8gies", "type" : "thesis" }, "uris" : [ "http://www.mendeley.com/documents/?uuid=e924dd89-4775-4d6b-b2a6-ee58edfa7aa5" ] } ], "mendeley" : { "previouslyFormattedCitation" : "(Condom, 2003)" }, "properties" : { "noteIndex" : 0 }, "schema" : "https://github.com/citation-style-language/schema/raw/master/csl-citation.json" }</w:instrText>
      </w:r>
      <w:r w:rsidR="003B0D24" w:rsidRPr="005D10C1">
        <w:rPr>
          <w:rFonts w:ascii="Candara" w:hAnsi="Candara" w:cs="Arial"/>
        </w:rPr>
        <w:fldChar w:fldCharType="separate"/>
      </w:r>
      <w:r w:rsidR="00665B7A" w:rsidRPr="005D10C1">
        <w:rPr>
          <w:rFonts w:ascii="Candara" w:hAnsi="Candara" w:cs="Arial"/>
          <w:noProof/>
        </w:rPr>
        <w:t>(Condom, 2003)</w:t>
      </w:r>
      <w:r w:rsidR="003B0D24" w:rsidRPr="005D10C1">
        <w:rPr>
          <w:rFonts w:ascii="Candara" w:hAnsi="Candara" w:cs="Arial"/>
        </w:rPr>
        <w:fldChar w:fldCharType="end"/>
      </w:r>
      <w:r w:rsidRPr="005D10C1">
        <w:rPr>
          <w:rFonts w:ascii="Candara" w:hAnsi="Candara" w:cs="Arial"/>
        </w:rPr>
        <w:t xml:space="preserve">. </w:t>
      </w:r>
    </w:p>
    <w:p w14:paraId="2C70529D" w14:textId="77777777" w:rsidR="000D3752" w:rsidRPr="005D10C1" w:rsidRDefault="000D3752" w:rsidP="00552BBB">
      <w:pPr>
        <w:spacing w:line="360" w:lineRule="auto"/>
        <w:rPr>
          <w:rFonts w:ascii="Candara" w:hAnsi="Candara" w:cs="Arial"/>
        </w:rPr>
      </w:pPr>
    </w:p>
    <w:p w14:paraId="6C1E10B9" w14:textId="77777777" w:rsidR="00392712" w:rsidRPr="005D10C1" w:rsidRDefault="005114DA" w:rsidP="005114DA">
      <w:pPr>
        <w:spacing w:line="360" w:lineRule="auto"/>
        <w:rPr>
          <w:rFonts w:ascii="Candara" w:hAnsi="Candara" w:cs="ArialNarrow"/>
        </w:rPr>
      </w:pPr>
      <w:r w:rsidRPr="005D10C1">
        <w:rPr>
          <w:rFonts w:ascii="Candara" w:hAnsi="Candara"/>
        </w:rPr>
        <w:t xml:space="preserve">De acuerdo a la naturaleza de la organización madre u organización de origen de la que procede la </w:t>
      </w:r>
      <w:r w:rsidRPr="005D10C1">
        <w:rPr>
          <w:rFonts w:ascii="Candara" w:hAnsi="Candara"/>
          <w:i/>
        </w:rPr>
        <w:t>spin-off</w:t>
      </w:r>
      <w:r w:rsidRPr="005D10C1">
        <w:rPr>
          <w:rFonts w:ascii="Candara" w:hAnsi="Candara"/>
        </w:rPr>
        <w:t xml:space="preserve">, éstas pueden clasificarse </w:t>
      </w:r>
      <w:r w:rsidR="003A5DCF" w:rsidRPr="005D10C1">
        <w:rPr>
          <w:rFonts w:ascii="Candara" w:hAnsi="Candara"/>
        </w:rPr>
        <w:t xml:space="preserve">como públicas o privadas </w:t>
      </w:r>
      <w:r w:rsidR="003B0D24" w:rsidRPr="005D10C1">
        <w:rPr>
          <w:rFonts w:ascii="Candara" w:hAnsi="Candara"/>
        </w:rPr>
        <w:fldChar w:fldCharType="begin" w:fldLock="1"/>
      </w:r>
      <w:r w:rsidR="00CA1A09" w:rsidRPr="005D10C1">
        <w:rPr>
          <w:rFonts w:ascii="Candara" w:hAnsi="Candara"/>
        </w:rPr>
        <w:instrText>ADDIN CSL_CITATION { "citationItems" : [ { "id" : "ITEM-1", "itemData" : { "author" : [ { "dropping-particle" : "", "family" : "Iglesias", "given" : "PP", "non-dropping-particle" : "", "parse-names" : false, "suffix" : "" } ], "id" : "ITEM-1", "issued" : { "date-parts" : [ [ "2010" ] ] }, "page" : "426", "publisher" : "Universidad de M\u00e1laga", "title" : "Las Spin-Off Universitarias como mecanismo de transferencia de tecnolog\u00eda y su impacto econ\u00f3mico en base a la actividad de I+ D+ i", "type" : "thesis" }, "uris" : [ "http://www.mendeley.com/documents/?uuid=a77e8b48-998f-4144-8131-0fb71f159288" ] } ], "mendeley" : { "previouslyFormattedCitation" : "(Iglesias, 2010)" }, "properties" : { "noteIndex" : 0 }, "schema" : "https://github.com/citation-style-language/schema/raw/master/csl-citation.json" }</w:instrText>
      </w:r>
      <w:r w:rsidR="003B0D24" w:rsidRPr="005D10C1">
        <w:rPr>
          <w:rFonts w:ascii="Candara" w:hAnsi="Candara"/>
        </w:rPr>
        <w:fldChar w:fldCharType="separate"/>
      </w:r>
      <w:r w:rsidRPr="005D10C1">
        <w:rPr>
          <w:rFonts w:ascii="Candara" w:hAnsi="Candara"/>
          <w:noProof/>
        </w:rPr>
        <w:t>(Iglesias, 2010)</w:t>
      </w:r>
      <w:r w:rsidR="003B0D24" w:rsidRPr="005D10C1">
        <w:rPr>
          <w:rFonts w:ascii="Candara" w:hAnsi="Candara"/>
        </w:rPr>
        <w:fldChar w:fldCharType="end"/>
      </w:r>
      <w:r w:rsidR="003A5DCF" w:rsidRPr="005D10C1">
        <w:rPr>
          <w:rFonts w:ascii="Candara" w:hAnsi="Candara"/>
        </w:rPr>
        <w:t xml:space="preserve">. Así pues, las </w:t>
      </w:r>
      <w:r w:rsidR="00392712" w:rsidRPr="005D10C1">
        <w:rPr>
          <w:rFonts w:ascii="Candara" w:hAnsi="Candara" w:cs="ArialNarrow"/>
        </w:rPr>
        <w:t>Spin-Off Públicas procederían de Universida</w:t>
      </w:r>
      <w:r w:rsidRPr="005D10C1">
        <w:rPr>
          <w:rFonts w:ascii="Candara" w:hAnsi="Candara" w:cs="ArialNarrow"/>
        </w:rPr>
        <w:t>des</w:t>
      </w:r>
      <w:r w:rsidR="003A5DCF" w:rsidRPr="005D10C1">
        <w:rPr>
          <w:rFonts w:ascii="Candara" w:hAnsi="Candara" w:cs="ArialNarrow"/>
        </w:rPr>
        <w:t xml:space="preserve"> o de</w:t>
      </w:r>
      <w:r w:rsidR="00392712" w:rsidRPr="005D10C1">
        <w:rPr>
          <w:rFonts w:ascii="Candara" w:hAnsi="Candara" w:cs="ArialNarrow"/>
        </w:rPr>
        <w:t xml:space="preserve"> Organismos </w:t>
      </w:r>
      <w:r w:rsidR="003A5DCF" w:rsidRPr="005D10C1">
        <w:rPr>
          <w:rFonts w:ascii="Candara" w:hAnsi="Candara" w:cs="ArialNarrow"/>
        </w:rPr>
        <w:t>Públicos de Investigación (OPI) y las S</w:t>
      </w:r>
      <w:r w:rsidR="00392712" w:rsidRPr="005D10C1">
        <w:rPr>
          <w:rFonts w:ascii="Candara" w:hAnsi="Candara" w:cs="ArialNarrow"/>
        </w:rPr>
        <w:t>pin-Off Privada</w:t>
      </w:r>
      <w:r w:rsidR="003A5DCF" w:rsidRPr="005D10C1">
        <w:rPr>
          <w:rFonts w:ascii="Candara" w:hAnsi="Candara" w:cs="ArialNarrow"/>
        </w:rPr>
        <w:t xml:space="preserve">s son las procedentes de empresas u organizaciones del sector </w:t>
      </w:r>
      <w:r w:rsidR="00392712" w:rsidRPr="005D10C1">
        <w:rPr>
          <w:rFonts w:ascii="Candara" w:hAnsi="Candara" w:cs="ArialNarrow"/>
        </w:rPr>
        <w:t>privado</w:t>
      </w:r>
      <w:r w:rsidR="00373BC9" w:rsidRPr="005D10C1">
        <w:rPr>
          <w:rFonts w:ascii="Candara" w:hAnsi="Candara" w:cs="ArialNarrow"/>
        </w:rPr>
        <w:t>, departamentos de I+D+i o laboratorios de investigación privados</w:t>
      </w:r>
      <w:r w:rsidR="00392712" w:rsidRPr="005D10C1">
        <w:rPr>
          <w:rFonts w:ascii="Candara" w:hAnsi="Candara" w:cs="ArialNarrow"/>
        </w:rPr>
        <w:t>.</w:t>
      </w:r>
    </w:p>
    <w:p w14:paraId="5874722E" w14:textId="77777777" w:rsidR="00F666A0" w:rsidRPr="005D10C1" w:rsidRDefault="00F666A0" w:rsidP="003A5DCF">
      <w:pPr>
        <w:spacing w:line="360" w:lineRule="auto"/>
        <w:rPr>
          <w:rFonts w:ascii="Candara" w:hAnsi="Candara" w:cs="ArialNarrow"/>
        </w:rPr>
      </w:pPr>
    </w:p>
    <w:p w14:paraId="064D3AFC" w14:textId="77777777" w:rsidR="00262535" w:rsidRPr="005D10C1" w:rsidRDefault="005114DA" w:rsidP="00F666A0">
      <w:pPr>
        <w:autoSpaceDE w:val="0"/>
        <w:autoSpaceDN w:val="0"/>
        <w:adjustRightInd w:val="0"/>
        <w:spacing w:line="360" w:lineRule="auto"/>
        <w:rPr>
          <w:rFonts w:ascii="Candara" w:hAnsi="Candara" w:cs="ArialNarrow"/>
        </w:rPr>
      </w:pPr>
      <w:r w:rsidRPr="005D10C1">
        <w:rPr>
          <w:rFonts w:ascii="Candara" w:hAnsi="Candara" w:cs="Arial"/>
        </w:rPr>
        <w:t xml:space="preserve">Por otra parte, de acuerdo a la </w:t>
      </w:r>
      <w:r w:rsidR="00392712" w:rsidRPr="005D10C1">
        <w:rPr>
          <w:rFonts w:ascii="Candara" w:hAnsi="Candara" w:cs="Arial"/>
          <w:b/>
          <w:i/>
        </w:rPr>
        <w:t>causa de origen</w:t>
      </w:r>
      <w:r w:rsidR="00F666A0" w:rsidRPr="005D10C1">
        <w:rPr>
          <w:rFonts w:ascii="Candara" w:hAnsi="Candara" w:cs="Arial"/>
          <w:i/>
        </w:rPr>
        <w:t>,</w:t>
      </w:r>
      <w:r w:rsidR="00F666A0" w:rsidRPr="005D10C1">
        <w:rPr>
          <w:rFonts w:ascii="Candara" w:hAnsi="Candara" w:cs="Arial"/>
        </w:rPr>
        <w:t xml:space="preserve"> es decir, si </w:t>
      </w:r>
      <w:r w:rsidR="005D32BC" w:rsidRPr="005D10C1">
        <w:rPr>
          <w:rFonts w:ascii="Candara" w:hAnsi="Candara" w:cs="Arial"/>
        </w:rPr>
        <w:t>la</w:t>
      </w:r>
      <w:r w:rsidR="00F666A0" w:rsidRPr="005D10C1">
        <w:rPr>
          <w:rFonts w:ascii="Candara" w:hAnsi="Candara" w:cs="Arial"/>
        </w:rPr>
        <w:t xml:space="preserve"> empresa se basa en un resultado de investigación o es una respuesta a necesidades del mercado</w:t>
      </w:r>
      <w:r w:rsidRPr="005D10C1">
        <w:rPr>
          <w:rFonts w:ascii="Candara" w:hAnsi="Candara" w:cs="Arial"/>
        </w:rPr>
        <w:t xml:space="preserve"> las </w:t>
      </w:r>
      <w:r w:rsidRPr="005D10C1">
        <w:rPr>
          <w:rFonts w:ascii="Candara" w:hAnsi="Candara" w:cs="Arial"/>
          <w:i/>
        </w:rPr>
        <w:t xml:space="preserve">spin-offs </w:t>
      </w:r>
      <w:r w:rsidRPr="005D10C1">
        <w:rPr>
          <w:rFonts w:ascii="Candara" w:hAnsi="Candara" w:cs="Arial"/>
        </w:rPr>
        <w:t xml:space="preserve">pueden clasificarse como </w:t>
      </w:r>
      <w:r w:rsidRPr="005D10C1">
        <w:rPr>
          <w:rFonts w:ascii="Candara" w:hAnsi="Candara" w:cs="Arial"/>
          <w:i/>
        </w:rPr>
        <w:t xml:space="preserve">Spin-offs basadas en investigación </w:t>
      </w:r>
      <w:r w:rsidRPr="005D10C1">
        <w:rPr>
          <w:rFonts w:ascii="Candara" w:hAnsi="Candara" w:cs="Arial"/>
        </w:rPr>
        <w:t xml:space="preserve">y </w:t>
      </w:r>
      <w:r w:rsidRPr="005D10C1">
        <w:rPr>
          <w:rFonts w:ascii="Candara" w:hAnsi="Candara" w:cs="ArialNarrow"/>
          <w:i/>
        </w:rPr>
        <w:t>Spin-Off Outsourcing</w:t>
      </w:r>
      <w:r w:rsidR="00F666A0" w:rsidRPr="005D10C1">
        <w:rPr>
          <w:rFonts w:ascii="Candara" w:hAnsi="Candara" w:cs="Arial"/>
        </w:rPr>
        <w:t xml:space="preserve">.  Es así como las </w:t>
      </w:r>
      <w:r w:rsidR="00F666A0" w:rsidRPr="005D10C1">
        <w:rPr>
          <w:rFonts w:ascii="Candara" w:hAnsi="Candara" w:cs="Arial"/>
          <w:i/>
        </w:rPr>
        <w:t xml:space="preserve">Spin-offs </w:t>
      </w:r>
      <w:r w:rsidR="00392712" w:rsidRPr="005D10C1">
        <w:rPr>
          <w:rFonts w:ascii="Candara" w:hAnsi="Candara" w:cs="ArialNarrow"/>
          <w:i/>
        </w:rPr>
        <w:t>basada</w:t>
      </w:r>
      <w:r w:rsidR="00F666A0" w:rsidRPr="005D10C1">
        <w:rPr>
          <w:rFonts w:ascii="Candara" w:hAnsi="Candara" w:cs="ArialNarrow"/>
          <w:i/>
        </w:rPr>
        <w:t>s</w:t>
      </w:r>
      <w:r w:rsidR="00392712" w:rsidRPr="005D10C1">
        <w:rPr>
          <w:rFonts w:ascii="Candara" w:hAnsi="Candara" w:cs="ArialNarrow"/>
          <w:i/>
        </w:rPr>
        <w:t xml:space="preserve"> en la inve</w:t>
      </w:r>
      <w:r w:rsidR="00F666A0" w:rsidRPr="005D10C1">
        <w:rPr>
          <w:rFonts w:ascii="Candara" w:hAnsi="Candara" w:cs="ArialNarrow"/>
          <w:i/>
        </w:rPr>
        <w:t>stigación</w:t>
      </w:r>
      <w:r w:rsidR="00392712" w:rsidRPr="005D10C1">
        <w:rPr>
          <w:rFonts w:ascii="Candara" w:hAnsi="Candara" w:cs="ArialNarrow"/>
        </w:rPr>
        <w:t xml:space="preserve"> </w:t>
      </w:r>
      <w:r w:rsidR="00F666A0" w:rsidRPr="005D10C1">
        <w:rPr>
          <w:rFonts w:ascii="Candara" w:hAnsi="Candara" w:cs="ArialNarrow"/>
        </w:rPr>
        <w:t xml:space="preserve">son creadas para comercializar una tecnología </w:t>
      </w:r>
      <w:r w:rsidR="00392712" w:rsidRPr="005D10C1">
        <w:rPr>
          <w:rFonts w:ascii="Candara" w:hAnsi="Candara" w:cs="ArialNarrow"/>
        </w:rPr>
        <w:t xml:space="preserve">resultado de una investigación realizada al interior de una organización, ya sea pública o privada </w:t>
      </w:r>
      <w:r w:rsidR="003B0D24" w:rsidRPr="005D10C1">
        <w:rPr>
          <w:rFonts w:ascii="Candara" w:hAnsi="Candara" w:cs="ArialNarrow"/>
        </w:rPr>
        <w:fldChar w:fldCharType="begin" w:fldLock="1"/>
      </w:r>
      <w:r w:rsidR="00CA1A09" w:rsidRPr="005D10C1">
        <w:rPr>
          <w:rFonts w:ascii="Candara" w:hAnsi="Candara" w:cs="ArialNarrow"/>
        </w:rPr>
        <w:instrText>ADDIN CSL_CITATION { "citationItems" : [ { "id" : "ITEM-1", "itemData" : { "author" : [ { "dropping-particle" : "", "family" : "Clarysse", "given" : "Bart", "non-dropping-particle" : "", "parse-names" : false, "suffix" : "" } ], "container-title" : "Workshop OECD", "id" : "ITEM-1", "issued" : { "date-parts" : [ [ "2000" ] ] }, "title" : "Spin-Off formation across Europe", "type" : "article-journal" }, "uris" : [ "http://www.mendeley.com/documents/?uuid=4281f3b3-d262-4035-a190-e569511d6496" ] } ], "mendeley" : { "previouslyFormattedCitation" : "(Clarysse, 2000)" }, "properties" : { "noteIndex" : 0 }, "schema" : "https://github.com/citation-style-language/schema/raw/master/csl-citation.json" }</w:instrText>
      </w:r>
      <w:r w:rsidR="003B0D24" w:rsidRPr="005D10C1">
        <w:rPr>
          <w:rFonts w:ascii="Candara" w:hAnsi="Candara" w:cs="ArialNarrow"/>
        </w:rPr>
        <w:fldChar w:fldCharType="separate"/>
      </w:r>
      <w:r w:rsidR="008F6ADD" w:rsidRPr="005D10C1">
        <w:rPr>
          <w:rFonts w:ascii="Candara" w:hAnsi="Candara" w:cs="ArialNarrow"/>
          <w:noProof/>
        </w:rPr>
        <w:t>(Clarysse, 2000)</w:t>
      </w:r>
      <w:r w:rsidR="003B0D24" w:rsidRPr="005D10C1">
        <w:rPr>
          <w:rFonts w:ascii="Candara" w:hAnsi="Candara" w:cs="ArialNarrow"/>
        </w:rPr>
        <w:fldChar w:fldCharType="end"/>
      </w:r>
      <w:r w:rsidR="00F666A0" w:rsidRPr="005D10C1">
        <w:rPr>
          <w:rFonts w:ascii="Candara" w:hAnsi="Candara" w:cs="ArialNarrow"/>
        </w:rPr>
        <w:t xml:space="preserve"> y, S</w:t>
      </w:r>
      <w:r w:rsidR="00392712" w:rsidRPr="005D10C1">
        <w:rPr>
          <w:rFonts w:ascii="Candara" w:hAnsi="Candara" w:cs="ArialNarrow"/>
        </w:rPr>
        <w:t>pin-Off</w:t>
      </w:r>
      <w:r w:rsidR="00F666A0" w:rsidRPr="005D10C1">
        <w:rPr>
          <w:rFonts w:ascii="Candara" w:hAnsi="Candara" w:cs="ArialNarrow"/>
        </w:rPr>
        <w:t xml:space="preserve"> </w:t>
      </w:r>
      <w:r w:rsidR="00392712" w:rsidRPr="005D10C1">
        <w:rPr>
          <w:rFonts w:ascii="Candara" w:hAnsi="Candara" w:cs="ArialNarrow"/>
        </w:rPr>
        <w:t>Outsourcing</w:t>
      </w:r>
      <w:r w:rsidR="00262535" w:rsidRPr="005D10C1">
        <w:rPr>
          <w:rFonts w:ascii="Candara" w:hAnsi="Candara" w:cs="ArialNarrow"/>
          <w:i/>
        </w:rPr>
        <w:t xml:space="preserve"> </w:t>
      </w:r>
      <w:r w:rsidR="00F666A0" w:rsidRPr="005D10C1">
        <w:rPr>
          <w:rFonts w:ascii="Candara" w:hAnsi="Candara" w:cs="ArialNarrow"/>
        </w:rPr>
        <w:t>s</w:t>
      </w:r>
      <w:r w:rsidR="005D32BC" w:rsidRPr="005D10C1">
        <w:rPr>
          <w:rFonts w:ascii="Candara" w:hAnsi="Candara" w:cs="ArialNarrow"/>
        </w:rPr>
        <w:t>on creadas</w:t>
      </w:r>
      <w:r w:rsidR="00F666A0" w:rsidRPr="005D10C1">
        <w:rPr>
          <w:rFonts w:ascii="Candara" w:hAnsi="Candara" w:cs="ArialNarrow"/>
        </w:rPr>
        <w:t xml:space="preserve"> para dar </w:t>
      </w:r>
      <w:r w:rsidR="00F666A0" w:rsidRPr="005D10C1">
        <w:rPr>
          <w:rFonts w:ascii="Candara" w:hAnsi="Candara" w:cs="ArialNarrow"/>
        </w:rPr>
        <w:lastRenderedPageBreak/>
        <w:t xml:space="preserve">respuesta a </w:t>
      </w:r>
      <w:commentRangeStart w:id="9"/>
      <w:r w:rsidR="00F666A0" w:rsidRPr="005D10C1">
        <w:rPr>
          <w:rFonts w:ascii="Candara" w:hAnsi="Candara" w:cs="ArialNarrow"/>
        </w:rPr>
        <w:t xml:space="preserve">nuevas </w:t>
      </w:r>
      <w:commentRangeEnd w:id="9"/>
      <w:r w:rsidR="00AC592C">
        <w:rPr>
          <w:rStyle w:val="Refdecomentario"/>
          <w:rFonts w:cstheme="minorBidi"/>
        </w:rPr>
        <w:commentReference w:id="9"/>
      </w:r>
      <w:r w:rsidR="00F666A0" w:rsidRPr="005D10C1">
        <w:rPr>
          <w:rFonts w:ascii="Candara" w:hAnsi="Candara" w:cs="ArialNarrow"/>
        </w:rPr>
        <w:t xml:space="preserve">necesidades del mercado o </w:t>
      </w:r>
      <w:r w:rsidR="00262535" w:rsidRPr="005D10C1">
        <w:rPr>
          <w:rFonts w:ascii="Candara" w:hAnsi="Candara" w:cs="ArialNarrow"/>
        </w:rPr>
        <w:t>implementar</w:t>
      </w:r>
      <w:commentRangeStart w:id="10"/>
      <w:r w:rsidR="00262535" w:rsidRPr="005D10C1">
        <w:rPr>
          <w:rFonts w:ascii="Candara" w:hAnsi="Candara" w:cs="ArialNarrow"/>
        </w:rPr>
        <w:t xml:space="preserve"> </w:t>
      </w:r>
      <w:r w:rsidR="00F666A0" w:rsidRPr="005D10C1">
        <w:rPr>
          <w:rFonts w:ascii="Candara" w:hAnsi="Candara" w:cs="ArialNarrow"/>
        </w:rPr>
        <w:t xml:space="preserve">nuevos </w:t>
      </w:r>
      <w:commentRangeEnd w:id="10"/>
      <w:r w:rsidR="00AC592C">
        <w:rPr>
          <w:rStyle w:val="Refdecomentario"/>
          <w:rFonts w:cstheme="minorBidi"/>
        </w:rPr>
        <w:commentReference w:id="10"/>
      </w:r>
      <w:r w:rsidR="00F666A0" w:rsidRPr="005D10C1">
        <w:rPr>
          <w:rFonts w:ascii="Candara" w:hAnsi="Candara" w:cs="ArialNarrow"/>
        </w:rPr>
        <w:t xml:space="preserve">procesos productivos que se salen del objeto social de la organización madre y </w:t>
      </w:r>
      <w:r w:rsidR="00392712" w:rsidRPr="005D10C1">
        <w:rPr>
          <w:rFonts w:ascii="Candara" w:hAnsi="Candara" w:cs="ArialNarrow"/>
        </w:rPr>
        <w:t xml:space="preserve">que requiere la creación de una nueva división que atienda estas demandas de forma independiente. </w:t>
      </w:r>
      <w:r w:rsidR="00392712" w:rsidRPr="00AC592C">
        <w:rPr>
          <w:rFonts w:ascii="Candara" w:hAnsi="Candara" w:cs="ArialNarrow"/>
          <w:highlight w:val="yellow"/>
        </w:rPr>
        <w:t>Por lo general, se entiende que la empresa matriz de la que nace la</w:t>
      </w:r>
      <w:r w:rsidR="00392712" w:rsidRPr="00AC592C">
        <w:rPr>
          <w:rFonts w:ascii="Candara" w:hAnsi="Candara" w:cs="ArialNarrow"/>
          <w:i/>
          <w:highlight w:val="yellow"/>
        </w:rPr>
        <w:t xml:space="preserve"> Spin-Off</w:t>
      </w:r>
      <w:r w:rsidR="00392712" w:rsidRPr="00AC592C">
        <w:rPr>
          <w:rFonts w:ascii="Candara" w:hAnsi="Candara" w:cs="ArialNarrow"/>
          <w:highlight w:val="yellow"/>
        </w:rPr>
        <w:t xml:space="preserve"> tiene cierta participación en el desarrollo de ésta</w:t>
      </w:r>
      <w:r w:rsidR="00392712" w:rsidRPr="005D10C1">
        <w:rPr>
          <w:rFonts w:ascii="Candara" w:hAnsi="Candara" w:cs="ArialNarrow"/>
        </w:rPr>
        <w:t xml:space="preserve">. </w:t>
      </w:r>
      <w:r w:rsidRPr="005D10C1">
        <w:rPr>
          <w:rFonts w:ascii="Candara" w:hAnsi="Candara" w:cs="ArialNarrow"/>
        </w:rPr>
        <w:t xml:space="preserve"> Las </w:t>
      </w:r>
      <w:r w:rsidRPr="005D10C1">
        <w:rPr>
          <w:rFonts w:ascii="Candara" w:hAnsi="Candara" w:cs="ArialNarrow"/>
          <w:i/>
        </w:rPr>
        <w:t xml:space="preserve">spin-offs </w:t>
      </w:r>
      <w:commentRangeStart w:id="11"/>
      <w:r w:rsidRPr="005D10C1">
        <w:rPr>
          <w:rFonts w:ascii="Candara" w:hAnsi="Candara" w:cs="ArialNarrow"/>
          <w:i/>
        </w:rPr>
        <w:t>outsour</w:t>
      </w:r>
      <w:r w:rsidR="00163CF8" w:rsidRPr="005D10C1">
        <w:rPr>
          <w:rFonts w:ascii="Candara" w:hAnsi="Candara" w:cs="ArialNarrow"/>
          <w:i/>
        </w:rPr>
        <w:t>c</w:t>
      </w:r>
      <w:r w:rsidRPr="005D10C1">
        <w:rPr>
          <w:rFonts w:ascii="Candara" w:hAnsi="Candara" w:cs="ArialNarrow"/>
          <w:i/>
        </w:rPr>
        <w:t>ing</w:t>
      </w:r>
      <w:commentRangeEnd w:id="11"/>
      <w:r w:rsidR="00AC592C">
        <w:rPr>
          <w:rStyle w:val="Refdecomentario"/>
          <w:rFonts w:cstheme="minorBidi"/>
        </w:rPr>
        <w:commentReference w:id="11"/>
      </w:r>
      <w:r w:rsidRPr="005D10C1">
        <w:rPr>
          <w:rFonts w:ascii="Candara" w:hAnsi="Candara" w:cs="ArialNarrow"/>
        </w:rPr>
        <w:t xml:space="preserve"> también se conocen como spin-offs empresariales o institucionales.</w:t>
      </w:r>
    </w:p>
    <w:p w14:paraId="5BDC9B14" w14:textId="77777777" w:rsidR="00262535" w:rsidRPr="005D10C1" w:rsidRDefault="00262535" w:rsidP="00F666A0">
      <w:pPr>
        <w:autoSpaceDE w:val="0"/>
        <w:autoSpaceDN w:val="0"/>
        <w:adjustRightInd w:val="0"/>
        <w:spacing w:line="360" w:lineRule="auto"/>
        <w:rPr>
          <w:rFonts w:ascii="Candara" w:hAnsi="Candara" w:cs="ArialNarrow"/>
        </w:rPr>
      </w:pPr>
    </w:p>
    <w:p w14:paraId="39363DAF" w14:textId="77777777" w:rsidR="003C1D76" w:rsidRPr="005D10C1" w:rsidRDefault="003B0D24" w:rsidP="00262535">
      <w:pPr>
        <w:autoSpaceDE w:val="0"/>
        <w:autoSpaceDN w:val="0"/>
        <w:adjustRightInd w:val="0"/>
        <w:spacing w:line="360" w:lineRule="auto"/>
        <w:rPr>
          <w:rFonts w:ascii="Candara" w:hAnsi="Candara" w:cs="Arial"/>
        </w:rPr>
      </w:pPr>
      <w:r w:rsidRPr="005D10C1">
        <w:rPr>
          <w:rFonts w:ascii="Candara" w:hAnsi="Candara" w:cs="ArialNarrow"/>
        </w:rPr>
        <w:fldChar w:fldCharType="begin" w:fldLock="1"/>
      </w:r>
      <w:r w:rsidR="00CA1A09" w:rsidRPr="005D10C1">
        <w:rPr>
          <w:rFonts w:ascii="Candara" w:hAnsi="Candara" w:cs="ArialNarrow"/>
        </w:rPr>
        <w:instrText>ADDIN CSL_CITATION { "citationItems" : [ { "id" : "ITEM-1", "itemData" : { "author" : [ { "dropping-particle" : "", "family" : "Wallin", "given" : "MW", "non-dropping-particle" : "", "parse-names" : false, "suffix" : "" }, { "dropping-particle" : "", "family" : "Dahlstrand", "given" : "\u00c5 Lindholm", "non-dropping-particle" : "", "parse-names" : false, "suffix" : "" } ], "container-title" : "Technovation", "id" : "ITEM-1", "issued" : { "date-parts" : [ [ "2006" ] ] }, "title" : "Sponsored spin-offs, industrial growth and change", "type" : "article-journal" }, "uris" : [ "http://www.mendeley.com/documents/?uuid=35cb1c72-9f63-4bf9-9c71-9bb77764d87c" ] } ], "mendeley" : { "previouslyFormattedCitation" : "(Wallin &amp; Dahlstrand, 2006)" }, "properties" : { "noteIndex" : 0 }, "schema" : "https://github.com/citation-style-language/schema/raw/master/csl-citation.json" }</w:instrText>
      </w:r>
      <w:r w:rsidRPr="005D10C1">
        <w:rPr>
          <w:rFonts w:ascii="Candara" w:hAnsi="Candara" w:cs="ArialNarrow"/>
        </w:rPr>
        <w:fldChar w:fldCharType="separate"/>
      </w:r>
      <w:r w:rsidR="00262535" w:rsidRPr="005D10C1">
        <w:rPr>
          <w:rFonts w:ascii="Candara" w:hAnsi="Candara" w:cs="ArialNarrow"/>
          <w:noProof/>
        </w:rPr>
        <w:t>(Wallin &amp; Dahlstrand, 2006)</w:t>
      </w:r>
      <w:r w:rsidRPr="005D10C1">
        <w:rPr>
          <w:rFonts w:ascii="Candara" w:hAnsi="Candara" w:cs="ArialNarrow"/>
        </w:rPr>
        <w:fldChar w:fldCharType="end"/>
      </w:r>
      <w:r w:rsidR="00262535" w:rsidRPr="005D10C1">
        <w:rPr>
          <w:rFonts w:ascii="Candara" w:hAnsi="Candara" w:cs="ArialNarrow"/>
        </w:rPr>
        <w:t xml:space="preserve"> proponen que cuando la organización madre participa en el desarrollo de la nueva spin-off, ésta podría denominarse </w:t>
      </w:r>
      <w:r w:rsidR="00262535" w:rsidRPr="005D10C1">
        <w:rPr>
          <w:rFonts w:ascii="Candara" w:hAnsi="Candara" w:cs="Arial"/>
          <w:b/>
          <w:i/>
        </w:rPr>
        <w:t xml:space="preserve">Sponsored Spin-Off.  </w:t>
      </w:r>
      <w:r w:rsidR="00262535" w:rsidRPr="005D10C1">
        <w:rPr>
          <w:rFonts w:ascii="Candara" w:hAnsi="Candara" w:cs="Arial"/>
        </w:rPr>
        <w:t xml:space="preserve">Para estos autores una </w:t>
      </w:r>
      <w:r w:rsidR="00392712" w:rsidRPr="005D10C1">
        <w:rPr>
          <w:rFonts w:ascii="Candara" w:hAnsi="Candara" w:cs="Arial"/>
          <w:b/>
          <w:i/>
        </w:rPr>
        <w:t>Sponsored Spin-Off</w:t>
      </w:r>
      <w:r w:rsidR="00262535" w:rsidRPr="005D10C1">
        <w:rPr>
          <w:rFonts w:ascii="Candara" w:hAnsi="Candara" w:cs="Arial"/>
          <w:b/>
          <w:i/>
        </w:rPr>
        <w:t xml:space="preserve"> </w:t>
      </w:r>
      <w:r w:rsidR="003C1D76" w:rsidRPr="005D10C1">
        <w:rPr>
          <w:rFonts w:ascii="Candara" w:hAnsi="Candara" w:cs="Arial"/>
        </w:rPr>
        <w:t xml:space="preserve">se define como una empresa que nace de las actividades que se desarrollan o se emprenden en una organización establecida, </w:t>
      </w:r>
      <w:r w:rsidR="00C74A04" w:rsidRPr="005D10C1">
        <w:rPr>
          <w:rFonts w:ascii="Candara" w:hAnsi="Candara" w:cs="Arial"/>
        </w:rPr>
        <w:t xml:space="preserve">donde la organización madre ha participado </w:t>
      </w:r>
      <w:r w:rsidR="003C1D76" w:rsidRPr="005D10C1">
        <w:rPr>
          <w:rFonts w:ascii="Candara" w:hAnsi="Candara" w:cs="Arial"/>
        </w:rPr>
        <w:t xml:space="preserve">activamente en el desarrollo de la nueva empresa. </w:t>
      </w:r>
      <w:r w:rsidR="004F1A87" w:rsidRPr="005D10C1">
        <w:rPr>
          <w:rFonts w:ascii="Candara" w:hAnsi="Candara" w:cs="Arial"/>
        </w:rPr>
        <w:t>L</w:t>
      </w:r>
      <w:r w:rsidR="007644B4" w:rsidRPr="005D10C1">
        <w:rPr>
          <w:rFonts w:ascii="Candara" w:hAnsi="Candara" w:cs="Arial"/>
        </w:rPr>
        <w:t xml:space="preserve">a relación entre </w:t>
      </w:r>
      <w:r w:rsidR="004F1A87" w:rsidRPr="005D10C1">
        <w:rPr>
          <w:rFonts w:ascii="Candara" w:hAnsi="Candara" w:cs="Arial"/>
        </w:rPr>
        <w:t>e</w:t>
      </w:r>
      <w:r w:rsidR="007644B4" w:rsidRPr="005D10C1">
        <w:rPr>
          <w:rFonts w:ascii="Candara" w:hAnsi="Candara" w:cs="Arial"/>
        </w:rPr>
        <w:t>sta</w:t>
      </w:r>
      <w:r w:rsidR="004F1A87" w:rsidRPr="005D10C1">
        <w:rPr>
          <w:rFonts w:ascii="Candara" w:hAnsi="Candara" w:cs="Arial"/>
          <w:i/>
        </w:rPr>
        <w:t>s</w:t>
      </w:r>
      <w:r w:rsidR="00F666A0" w:rsidRPr="005D10C1">
        <w:rPr>
          <w:rFonts w:ascii="Candara" w:hAnsi="Candara" w:cs="Arial"/>
          <w:i/>
        </w:rPr>
        <w:t xml:space="preserve"> </w:t>
      </w:r>
      <w:r w:rsidR="00C74A04" w:rsidRPr="005D10C1">
        <w:rPr>
          <w:rFonts w:ascii="Candara" w:hAnsi="Candara" w:cs="Arial"/>
          <w:i/>
        </w:rPr>
        <w:t>s</w:t>
      </w:r>
      <w:r w:rsidR="004F1A87" w:rsidRPr="005D10C1">
        <w:rPr>
          <w:rFonts w:ascii="Candara" w:hAnsi="Candara" w:cs="Arial"/>
          <w:i/>
        </w:rPr>
        <w:t>pin-off</w:t>
      </w:r>
      <w:r w:rsidR="00C74A04" w:rsidRPr="005D10C1">
        <w:rPr>
          <w:rFonts w:ascii="Candara" w:hAnsi="Candara" w:cs="Arial"/>
          <w:i/>
        </w:rPr>
        <w:t xml:space="preserve"> </w:t>
      </w:r>
      <w:r w:rsidR="004D6451" w:rsidRPr="005D10C1">
        <w:rPr>
          <w:rFonts w:ascii="Candara" w:hAnsi="Candara" w:cs="Arial"/>
        </w:rPr>
        <w:t>y las organizaciones madres</w:t>
      </w:r>
      <w:r w:rsidR="002B2C85" w:rsidRPr="005D10C1">
        <w:rPr>
          <w:rFonts w:ascii="Candara" w:hAnsi="Candara" w:cs="Arial"/>
        </w:rPr>
        <w:t xml:space="preserve"> (que pueden ser empresas o universidades)</w:t>
      </w:r>
      <w:r w:rsidR="004D6451" w:rsidRPr="005D10C1">
        <w:rPr>
          <w:rFonts w:ascii="Candara" w:hAnsi="Candara" w:cs="Arial"/>
        </w:rPr>
        <w:t xml:space="preserve"> se debe a que éstas últimas tienen una propiedad parcial o participación de la spin-off</w:t>
      </w:r>
      <w:r w:rsidR="007644B4" w:rsidRPr="005D10C1">
        <w:rPr>
          <w:rFonts w:ascii="Candara" w:hAnsi="Candara" w:cs="Arial"/>
        </w:rPr>
        <w:t xml:space="preserve">. Desde la perspectiva de la </w:t>
      </w:r>
      <w:r w:rsidR="009A0128" w:rsidRPr="005D10C1">
        <w:rPr>
          <w:rFonts w:ascii="Candara" w:hAnsi="Candara" w:cs="Arial"/>
        </w:rPr>
        <w:t xml:space="preserve">organización </w:t>
      </w:r>
      <w:r w:rsidR="007644B4" w:rsidRPr="005D10C1">
        <w:rPr>
          <w:rFonts w:ascii="Candara" w:hAnsi="Candara" w:cs="Arial"/>
        </w:rPr>
        <w:t xml:space="preserve">madre, la participación en el capital de las </w:t>
      </w:r>
      <w:r w:rsidR="007644B4" w:rsidRPr="005D10C1">
        <w:rPr>
          <w:rFonts w:ascii="Candara" w:hAnsi="Candara" w:cs="Arial"/>
          <w:i/>
        </w:rPr>
        <w:t xml:space="preserve">spin-off </w:t>
      </w:r>
      <w:r w:rsidR="005D32BC" w:rsidRPr="005D10C1">
        <w:rPr>
          <w:rFonts w:ascii="Candara" w:hAnsi="Candara" w:cs="Arial"/>
          <w:i/>
        </w:rPr>
        <w:t xml:space="preserve"> </w:t>
      </w:r>
      <w:r w:rsidR="005D32BC" w:rsidRPr="005D10C1">
        <w:rPr>
          <w:rFonts w:ascii="Candara" w:hAnsi="Candara" w:cs="Arial"/>
        </w:rPr>
        <w:t>le permitirá beneficiarse de los esfuerzos</w:t>
      </w:r>
      <w:r w:rsidR="005D32BC" w:rsidRPr="005D10C1">
        <w:rPr>
          <w:rFonts w:ascii="Candara" w:hAnsi="Candara" w:cs="Arial"/>
          <w:i/>
        </w:rPr>
        <w:t xml:space="preserve"> </w:t>
      </w:r>
      <w:r w:rsidR="007644B4" w:rsidRPr="005D10C1">
        <w:rPr>
          <w:rFonts w:ascii="Candara" w:hAnsi="Candara" w:cs="Arial"/>
        </w:rPr>
        <w:t>exitosos de la nueva compañía.</w:t>
      </w:r>
    </w:p>
    <w:p w14:paraId="70E9403B" w14:textId="77777777" w:rsidR="00392712" w:rsidRPr="005D10C1" w:rsidRDefault="00392712" w:rsidP="00392712">
      <w:pPr>
        <w:autoSpaceDE w:val="0"/>
        <w:autoSpaceDN w:val="0"/>
        <w:adjustRightInd w:val="0"/>
        <w:spacing w:line="360" w:lineRule="auto"/>
        <w:rPr>
          <w:rFonts w:ascii="Candara" w:hAnsi="Candara" w:cs="Arial"/>
        </w:rPr>
      </w:pPr>
    </w:p>
    <w:p w14:paraId="3F521996" w14:textId="77777777" w:rsidR="00163EA0" w:rsidRPr="005D10C1" w:rsidRDefault="00163EA0" w:rsidP="00392712">
      <w:pPr>
        <w:autoSpaceDE w:val="0"/>
        <w:autoSpaceDN w:val="0"/>
        <w:adjustRightInd w:val="0"/>
        <w:spacing w:line="360" w:lineRule="auto"/>
        <w:rPr>
          <w:rFonts w:ascii="Candara" w:hAnsi="Candara" w:cs="Arial"/>
        </w:rPr>
      </w:pPr>
      <w:r w:rsidRPr="005D10C1">
        <w:rPr>
          <w:rFonts w:ascii="Candara" w:hAnsi="Candara" w:cs="Arial"/>
        </w:rPr>
        <w:t xml:space="preserve">Ingresando a las </w:t>
      </w:r>
      <w:r w:rsidRPr="005D10C1">
        <w:rPr>
          <w:rFonts w:ascii="Candara" w:hAnsi="Candara" w:cs="Arial"/>
          <w:i/>
        </w:rPr>
        <w:t xml:space="preserve">spin-off </w:t>
      </w:r>
      <w:r w:rsidRPr="005D10C1">
        <w:rPr>
          <w:rFonts w:ascii="Candara" w:hAnsi="Candara" w:cs="Arial"/>
        </w:rPr>
        <w:t xml:space="preserve">que surgen </w:t>
      </w:r>
      <w:r w:rsidR="002B2C85" w:rsidRPr="005D10C1">
        <w:rPr>
          <w:rFonts w:ascii="Candara" w:hAnsi="Candara" w:cs="Arial"/>
        </w:rPr>
        <w:t>en las universidades existe</w:t>
      </w:r>
      <w:r w:rsidR="00EC5219" w:rsidRPr="005D10C1">
        <w:rPr>
          <w:rFonts w:ascii="Candara" w:hAnsi="Candara" w:cs="Arial"/>
        </w:rPr>
        <w:t>n varias tipologías que serán abordadas a continuación.</w:t>
      </w:r>
    </w:p>
    <w:p w14:paraId="4BAC5699" w14:textId="77777777" w:rsidR="00392712" w:rsidRPr="005D10C1" w:rsidRDefault="00ED3069" w:rsidP="00392712">
      <w:pPr>
        <w:autoSpaceDE w:val="0"/>
        <w:autoSpaceDN w:val="0"/>
        <w:adjustRightInd w:val="0"/>
        <w:spacing w:line="360" w:lineRule="auto"/>
        <w:rPr>
          <w:rFonts w:ascii="Candara" w:hAnsi="Candara" w:cs="Arial"/>
          <w:lang w:val="es-ES"/>
        </w:rPr>
      </w:pPr>
      <w:r w:rsidRPr="005D10C1">
        <w:rPr>
          <w:rFonts w:ascii="Candara" w:hAnsi="Candara" w:cs="Arial"/>
          <w:lang w:val="es-ES"/>
        </w:rPr>
        <w:t>Pirnay, Surlemont y Nlemvo (2003)</w:t>
      </w:r>
      <w:r w:rsidR="00A763B6" w:rsidRPr="005D10C1">
        <w:rPr>
          <w:rFonts w:ascii="Candara" w:hAnsi="Candara" w:cs="Arial"/>
          <w:lang w:val="es-ES"/>
        </w:rPr>
        <w:t xml:space="preserve">, </w:t>
      </w:r>
      <w:r w:rsidRPr="005D10C1">
        <w:rPr>
          <w:rFonts w:ascii="Candara" w:hAnsi="Candara" w:cs="Arial"/>
          <w:lang w:val="es-ES"/>
        </w:rPr>
        <w:t xml:space="preserve">definen las spin-offs </w:t>
      </w:r>
      <w:r w:rsidR="00163EA0" w:rsidRPr="005D10C1">
        <w:rPr>
          <w:rFonts w:ascii="Candara" w:hAnsi="Candara" w:cs="Arial"/>
          <w:lang w:val="es-ES"/>
        </w:rPr>
        <w:t>universitarias como</w:t>
      </w:r>
      <w:r w:rsidRPr="005D10C1">
        <w:rPr>
          <w:rFonts w:ascii="Candara" w:hAnsi="Candara" w:cs="Arial"/>
          <w:lang w:val="es-ES"/>
        </w:rPr>
        <w:t xml:space="preserve"> un tipo particular de spin-off </w:t>
      </w:r>
      <w:r w:rsidR="00A763B6" w:rsidRPr="005D10C1">
        <w:rPr>
          <w:rFonts w:ascii="Candara" w:hAnsi="Candara" w:cs="Arial"/>
          <w:lang w:val="es-ES"/>
        </w:rPr>
        <w:t xml:space="preserve">basada en ideas técnicas generadas en el entorno universitario, la cuales pueden ser creadas por cualquier integrante de la comunidad académica por lo que clasifican las spin-offs </w:t>
      </w:r>
      <w:r w:rsidRPr="005D10C1">
        <w:rPr>
          <w:rFonts w:ascii="Candara" w:hAnsi="Candara" w:cs="Arial"/>
          <w:lang w:val="es-ES"/>
        </w:rPr>
        <w:t>de acuerdo</w:t>
      </w:r>
      <w:r w:rsidRPr="005D10C1">
        <w:rPr>
          <w:rFonts w:ascii="Candara" w:hAnsi="Candara" w:cs="Arial"/>
          <w:i/>
          <w:lang w:val="es-ES"/>
        </w:rPr>
        <w:t xml:space="preserve"> al</w:t>
      </w:r>
      <w:r w:rsidRPr="005D10C1">
        <w:rPr>
          <w:rFonts w:ascii="Candara" w:hAnsi="Candara" w:cs="Arial"/>
          <w:b/>
          <w:i/>
          <w:lang w:val="es-ES"/>
        </w:rPr>
        <w:t xml:space="preserve"> estatus del individuo</w:t>
      </w:r>
      <w:r w:rsidRPr="005D10C1">
        <w:rPr>
          <w:rFonts w:ascii="Candara" w:hAnsi="Candara" w:cs="Arial"/>
          <w:i/>
          <w:lang w:val="es-ES"/>
        </w:rPr>
        <w:t xml:space="preserve"> </w:t>
      </w:r>
      <w:r w:rsidRPr="005D10C1">
        <w:rPr>
          <w:rFonts w:ascii="Candara" w:hAnsi="Candara" w:cs="Arial"/>
          <w:b/>
          <w:i/>
          <w:lang w:val="es-ES"/>
        </w:rPr>
        <w:t>en la organización,</w:t>
      </w:r>
      <w:r w:rsidRPr="005D10C1">
        <w:rPr>
          <w:rFonts w:ascii="Candara" w:hAnsi="Candara" w:cs="Arial"/>
          <w:i/>
          <w:lang w:val="es-ES"/>
        </w:rPr>
        <w:t xml:space="preserve"> en</w:t>
      </w:r>
      <w:r w:rsidRPr="005D10C1">
        <w:rPr>
          <w:rFonts w:ascii="Candara" w:hAnsi="Candara" w:cs="Arial"/>
          <w:b/>
          <w:i/>
          <w:lang w:val="es-ES"/>
        </w:rPr>
        <w:t xml:space="preserve"> estudiantiles </w:t>
      </w:r>
      <w:r w:rsidRPr="005D10C1">
        <w:rPr>
          <w:rFonts w:ascii="Candara" w:hAnsi="Candara" w:cs="Arial"/>
          <w:i/>
          <w:lang w:val="es-ES"/>
        </w:rPr>
        <w:t xml:space="preserve">y </w:t>
      </w:r>
      <w:r w:rsidRPr="005D10C1">
        <w:rPr>
          <w:rFonts w:ascii="Candara" w:hAnsi="Candara" w:cs="Arial"/>
          <w:b/>
          <w:i/>
          <w:lang w:val="es-ES"/>
        </w:rPr>
        <w:t>académicas.</w:t>
      </w:r>
      <w:r w:rsidRPr="005D10C1">
        <w:rPr>
          <w:rFonts w:ascii="Candara" w:hAnsi="Candara" w:cs="Arial"/>
          <w:i/>
          <w:lang w:val="es-ES"/>
        </w:rPr>
        <w:t xml:space="preserve"> </w:t>
      </w:r>
      <w:r w:rsidR="005D32BC" w:rsidRPr="005D10C1">
        <w:rPr>
          <w:rFonts w:ascii="Candara" w:hAnsi="Candara" w:cs="Arial"/>
          <w:lang w:val="es-ES"/>
        </w:rPr>
        <w:t>S</w:t>
      </w:r>
      <w:r w:rsidRPr="005D10C1">
        <w:rPr>
          <w:rFonts w:ascii="Candara" w:hAnsi="Candara" w:cs="Arial"/>
          <w:lang w:val="es-ES"/>
        </w:rPr>
        <w:t xml:space="preserve">pin-offs estudiantiles son aquellas creadas por miembros de la comunidad estudiantil con poco bagaje investigador; en tanto que las spin-offs académicas son las empresas creadas por un individuo de una comunidad “científica”, incluyendo personas con una experiencia investigadora sustancial, como es el caso de </w:t>
      </w:r>
      <w:r w:rsidRPr="005D10C1">
        <w:rPr>
          <w:rFonts w:ascii="Candara" w:hAnsi="Candara" w:cs="Arial"/>
          <w:lang w:val="es-ES"/>
        </w:rPr>
        <w:lastRenderedPageBreak/>
        <w:t>los profesores, ayudantes, investigadores y estudiantes de doctorado</w:t>
      </w:r>
      <w:r w:rsidR="00DE379F" w:rsidRPr="005D10C1">
        <w:rPr>
          <w:rFonts w:ascii="Candara" w:hAnsi="Candara" w:cs="Arial"/>
          <w:lang w:val="es-ES"/>
        </w:rPr>
        <w:t xml:space="preserve"> </w:t>
      </w:r>
      <w:r w:rsidR="003B0D24" w:rsidRPr="005D10C1">
        <w:rPr>
          <w:rFonts w:ascii="Candara" w:hAnsi="Candara" w:cs="Arial"/>
          <w:lang w:val="es-ES"/>
        </w:rPr>
        <w:fldChar w:fldCharType="begin" w:fldLock="1"/>
      </w:r>
      <w:r w:rsidR="00CA1A09" w:rsidRPr="005D10C1">
        <w:rPr>
          <w:rFonts w:ascii="Candara" w:hAnsi="Candara" w:cs="Arial"/>
          <w:lang w:val="es-ES"/>
        </w:rPr>
        <w:instrText>ADDIN CSL_CITATION { "citationItems" : [ { "id" : "ITEM-1", "itemData" : { "author" : [ { "dropping-particle" : "", "family" : "Pirnay", "given" : "F", "non-dropping-particle" : "", "parse-names" : false, "suffix" : "" }, { "dropping-particle" : "", "family" : "Surlemont", "given" : "B", "non-dropping-particle" : "", "parse-names" : false, "suffix" : "" }, { "dropping-particle" : "", "family" : "NIemvo", "given" : "Fr\u00e9deric", "non-dropping-particle" : "", "parse-names" : false, "suffix" : "" } ], "container-title" : "Small Business Economics", "id" : "ITEM-1", "issue" : "21", "issued" : { "date-parts" : [ [ "2003" ] ] }, "page" : "355-369", "title" : "Toward a typology of university spin-offs", "type" : "article-journal" }, "uris" : [ "http://www.mendeley.com/documents/?uuid=dbcb5ebb-f6fb-47cf-bf8f-59bda8957d79" ] } ], "mendeley" : { "previouslyFormattedCitation" : "(Pirnay, Surlemont, &amp; NIemvo, 2003)" }, "properties" : { "noteIndex" : 0 }, "schema" : "https://github.com/citation-style-language/schema/raw/master/csl-citation.json" }</w:instrText>
      </w:r>
      <w:r w:rsidR="003B0D24" w:rsidRPr="005D10C1">
        <w:rPr>
          <w:rFonts w:ascii="Candara" w:hAnsi="Candara" w:cs="Arial"/>
          <w:lang w:val="es-ES"/>
        </w:rPr>
        <w:fldChar w:fldCharType="separate"/>
      </w:r>
      <w:r w:rsidR="004837D5" w:rsidRPr="005D10C1">
        <w:rPr>
          <w:rFonts w:ascii="Candara" w:hAnsi="Candara" w:cs="Arial"/>
          <w:noProof/>
          <w:lang w:val="es-ES"/>
        </w:rPr>
        <w:t>(Pirnay, Surlemont, &amp; NIemvo, 2003)</w:t>
      </w:r>
      <w:r w:rsidR="003B0D24" w:rsidRPr="005D10C1">
        <w:rPr>
          <w:rFonts w:ascii="Candara" w:hAnsi="Candara" w:cs="Arial"/>
          <w:lang w:val="es-ES"/>
        </w:rPr>
        <w:fldChar w:fldCharType="end"/>
      </w:r>
      <w:r w:rsidRPr="005D10C1">
        <w:rPr>
          <w:rFonts w:ascii="Candara" w:hAnsi="Candara" w:cs="Arial"/>
          <w:lang w:val="es-ES"/>
        </w:rPr>
        <w:t>.</w:t>
      </w:r>
    </w:p>
    <w:p w14:paraId="2D8313E2" w14:textId="77777777" w:rsidR="00392712" w:rsidRPr="005D10C1" w:rsidRDefault="007966ED" w:rsidP="00804D9B">
      <w:pPr>
        <w:autoSpaceDE w:val="0"/>
        <w:autoSpaceDN w:val="0"/>
        <w:adjustRightInd w:val="0"/>
        <w:spacing w:line="360" w:lineRule="auto"/>
        <w:rPr>
          <w:rFonts w:ascii="Candara" w:hAnsi="Candara" w:cs="Arial"/>
          <w:lang w:val="es-ES"/>
        </w:rPr>
      </w:pPr>
      <w:r w:rsidRPr="005D10C1">
        <w:rPr>
          <w:rFonts w:ascii="Candara" w:hAnsi="Candara" w:cs="Arial"/>
          <w:lang w:val="es-ES"/>
        </w:rPr>
        <w:t xml:space="preserve">Otros autores han clasificado las spin-off de acuerdo al rol que asume el investigador en la nueva empresa </w:t>
      </w:r>
      <w:r w:rsidR="003B0D24" w:rsidRPr="005D10C1">
        <w:rPr>
          <w:rFonts w:ascii="Candara" w:hAnsi="Candara" w:cs="Arial"/>
        </w:rPr>
        <w:fldChar w:fldCharType="begin" w:fldLock="1"/>
      </w:r>
      <w:r w:rsidR="00CA1A09" w:rsidRPr="005D10C1">
        <w:rPr>
          <w:rFonts w:ascii="Candara" w:hAnsi="Candara" w:cs="Arial"/>
        </w:rPr>
        <w:instrText>ADDIN CSL_CITATION { "citationItems" : [ { "id" : "ITEM-1", "itemData" : { "DOI" : "10.1111/j.1467-9310.1988.tb00609.x", "ISSN" : "0033-6807", "author" : [ { "dropping-particle" : "", "family" : "Dierdonck", "given" : "R.", "non-dropping-particle" : "Van", "parse-names" : false, "suffix" : "" }, { "dropping-particle" : "", "family" : "Debackere", "given" : "K.", "non-dropping-particle" : "", "parse-names" : false, "suffix" : "" } ], "container-title" : "R&amp;D Management", "id" : "ITEM-1", "issue" : "4", "issued" : { "date-parts" : [ [ "1988", "10" ] ] }, "page" : "341-353", "title" : "Academic entrepreneurship at Belgian Universities", "type" : "article-journal", "volume" : "18" }, "uris" : [ "http://www.mendeley.com/documents/?uuid=9cf291c9-ea80-4f48-84b7-12abdd52c3fe" ] } ], "mendeley" : { "previouslyFormattedCitation" : "(Van Dierdonck &amp; Debackere, 1988)" }, "properties" : { "noteIndex" : 0 }, "schema" : "https://github.com/citation-style-language/schema/raw/master/csl-citation.json" }</w:instrText>
      </w:r>
      <w:r w:rsidR="003B0D24" w:rsidRPr="005D10C1">
        <w:rPr>
          <w:rFonts w:ascii="Candara" w:hAnsi="Candara" w:cs="Arial"/>
        </w:rPr>
        <w:fldChar w:fldCharType="separate"/>
      </w:r>
      <w:r w:rsidRPr="005D10C1">
        <w:rPr>
          <w:rFonts w:ascii="Candara" w:hAnsi="Candara" w:cs="Arial"/>
          <w:noProof/>
        </w:rPr>
        <w:t>(Van Dierdonck &amp; Debackere, 1988)</w:t>
      </w:r>
      <w:r w:rsidR="003B0D24" w:rsidRPr="005D10C1">
        <w:rPr>
          <w:rFonts w:ascii="Candara" w:hAnsi="Candara" w:cs="Arial"/>
        </w:rPr>
        <w:fldChar w:fldCharType="end"/>
      </w:r>
      <w:r w:rsidRPr="005D10C1">
        <w:rPr>
          <w:rFonts w:ascii="Candara" w:hAnsi="Candara" w:cs="Arial"/>
        </w:rPr>
        <w:t>.  En este sentido, las spin</w:t>
      </w:r>
      <w:r w:rsidR="00804D9B" w:rsidRPr="005D10C1">
        <w:rPr>
          <w:rFonts w:ascii="Candara" w:hAnsi="Candara" w:cs="Arial"/>
        </w:rPr>
        <w:t xml:space="preserve">-offs se pueden clasificar como </w:t>
      </w:r>
      <w:r w:rsidR="00804D9B" w:rsidRPr="005D10C1">
        <w:rPr>
          <w:rFonts w:ascii="Candara" w:hAnsi="Candara" w:cs="Arial"/>
          <w:i/>
        </w:rPr>
        <w:t xml:space="preserve">intrapreneurial spin-offs </w:t>
      </w:r>
      <w:r w:rsidR="00804D9B" w:rsidRPr="005D10C1">
        <w:rPr>
          <w:rFonts w:ascii="Candara" w:hAnsi="Candara" w:cs="Arial"/>
        </w:rPr>
        <w:t xml:space="preserve">o </w:t>
      </w:r>
      <w:r w:rsidR="00804D9B" w:rsidRPr="005D10C1">
        <w:rPr>
          <w:rFonts w:ascii="Candara" w:hAnsi="Candara" w:cs="Arial"/>
          <w:i/>
        </w:rPr>
        <w:t xml:space="preserve">extrapreneurial spin-offs. </w:t>
      </w:r>
      <w:r w:rsidR="00804D9B" w:rsidRPr="005D10C1">
        <w:rPr>
          <w:rFonts w:ascii="Candara" w:hAnsi="Candara" w:cs="Arial"/>
        </w:rPr>
        <w:t xml:space="preserve">En el primer tipo, </w:t>
      </w:r>
      <w:r w:rsidR="003B796E" w:rsidRPr="005D10C1">
        <w:rPr>
          <w:rFonts w:ascii="Candara" w:hAnsi="Candara" w:cs="Arial"/>
        </w:rPr>
        <w:t>el investigador</w:t>
      </w:r>
      <w:r w:rsidR="00804D9B" w:rsidRPr="005D10C1">
        <w:rPr>
          <w:rFonts w:ascii="Candara" w:hAnsi="Candara" w:cs="Arial"/>
        </w:rPr>
        <w:t xml:space="preserve"> o los investigadores son quienes crean la empresa </w:t>
      </w:r>
      <w:r w:rsidR="00392712" w:rsidRPr="005D10C1">
        <w:rPr>
          <w:rFonts w:ascii="Candara" w:hAnsi="Candara" w:cs="Arial"/>
        </w:rPr>
        <w:t>con el fin de explotar comercialmente una parte de los conocimientos desarrollados en el marco de las actividades de investigación de la universidad.</w:t>
      </w:r>
      <w:r w:rsidR="00804D9B" w:rsidRPr="005D10C1">
        <w:rPr>
          <w:rFonts w:ascii="Candara" w:hAnsi="Candara" w:cs="Arial"/>
        </w:rPr>
        <w:t xml:space="preserve"> En el segundo tipo, las empresas son </w:t>
      </w:r>
      <w:r w:rsidR="00392712" w:rsidRPr="005D10C1">
        <w:rPr>
          <w:rFonts w:ascii="Candara" w:hAnsi="Candara" w:cs="Arial"/>
        </w:rPr>
        <w:t>creadas por personas ajenas a la comunidad científica</w:t>
      </w:r>
      <w:r w:rsidR="00804D9B" w:rsidRPr="005D10C1">
        <w:rPr>
          <w:rFonts w:ascii="Candara" w:hAnsi="Candara" w:cs="Arial"/>
        </w:rPr>
        <w:t>, que generalmente, acceden a la tecnología a través del licenciamiento.</w:t>
      </w:r>
    </w:p>
    <w:p w14:paraId="189E98F3" w14:textId="77777777" w:rsidR="00392712" w:rsidRPr="005D10C1" w:rsidRDefault="00392712" w:rsidP="00392712">
      <w:pPr>
        <w:autoSpaceDE w:val="0"/>
        <w:autoSpaceDN w:val="0"/>
        <w:adjustRightInd w:val="0"/>
        <w:spacing w:line="360" w:lineRule="auto"/>
        <w:rPr>
          <w:rFonts w:ascii="Candara" w:hAnsi="Candara" w:cs="Arial"/>
        </w:rPr>
      </w:pPr>
    </w:p>
    <w:p w14:paraId="175E5F92" w14:textId="77777777" w:rsidR="00804D9B" w:rsidRPr="005D10C1" w:rsidRDefault="00804D9B" w:rsidP="00804D9B">
      <w:pPr>
        <w:autoSpaceDE w:val="0"/>
        <w:autoSpaceDN w:val="0"/>
        <w:adjustRightInd w:val="0"/>
        <w:spacing w:line="360" w:lineRule="auto"/>
        <w:rPr>
          <w:rFonts w:ascii="Candara" w:hAnsi="Candara" w:cs="Arial"/>
        </w:rPr>
      </w:pPr>
      <w:r w:rsidRPr="005D10C1">
        <w:rPr>
          <w:rFonts w:ascii="Candara" w:hAnsi="Candara" w:cs="Arial"/>
        </w:rPr>
        <w:t>Otra</w:t>
      </w:r>
      <w:r w:rsidR="00392712" w:rsidRPr="005D10C1">
        <w:rPr>
          <w:rFonts w:ascii="Candara" w:hAnsi="Candara" w:cs="Arial"/>
        </w:rPr>
        <w:t xml:space="preserve"> categorización basada en </w:t>
      </w:r>
      <w:r w:rsidR="00392712" w:rsidRPr="005D10C1">
        <w:rPr>
          <w:rFonts w:ascii="Candara" w:hAnsi="Candara" w:cs="Arial"/>
          <w:b/>
        </w:rPr>
        <w:t>el papel del precursor y de</w:t>
      </w:r>
      <w:r w:rsidR="005D32BC" w:rsidRPr="005D10C1">
        <w:rPr>
          <w:rFonts w:ascii="Candara" w:hAnsi="Candara" w:cs="Arial"/>
          <w:b/>
        </w:rPr>
        <w:t xml:space="preserve"> </w:t>
      </w:r>
      <w:r w:rsidR="00392712" w:rsidRPr="005D10C1">
        <w:rPr>
          <w:rFonts w:ascii="Candara" w:hAnsi="Candara" w:cs="Arial"/>
          <w:b/>
        </w:rPr>
        <w:t>l</w:t>
      </w:r>
      <w:r w:rsidR="005D32BC" w:rsidRPr="005D10C1">
        <w:rPr>
          <w:rFonts w:ascii="Candara" w:hAnsi="Candara" w:cs="Arial"/>
          <w:b/>
        </w:rPr>
        <w:t>os</w:t>
      </w:r>
      <w:r w:rsidR="00392712" w:rsidRPr="005D10C1">
        <w:rPr>
          <w:rFonts w:ascii="Candara" w:hAnsi="Candara" w:cs="Arial"/>
          <w:b/>
        </w:rPr>
        <w:t xml:space="preserve"> emprendedor</w:t>
      </w:r>
      <w:r w:rsidR="005D32BC" w:rsidRPr="005D10C1">
        <w:rPr>
          <w:rFonts w:ascii="Candara" w:hAnsi="Candara" w:cs="Arial"/>
          <w:b/>
        </w:rPr>
        <w:t>es</w:t>
      </w:r>
      <w:r w:rsidRPr="005D10C1">
        <w:rPr>
          <w:rFonts w:ascii="Candara" w:hAnsi="Candara" w:cs="Arial"/>
          <w:b/>
        </w:rPr>
        <w:t xml:space="preserve"> </w:t>
      </w:r>
      <w:r w:rsidRPr="005D10C1">
        <w:rPr>
          <w:rFonts w:ascii="Candara" w:hAnsi="Candara" w:cs="Arial"/>
        </w:rPr>
        <w:t>es la propuesta por Nicolaou y Birley (200</w:t>
      </w:r>
      <w:r w:rsidR="00DE379F" w:rsidRPr="005D10C1">
        <w:rPr>
          <w:rFonts w:ascii="Candara" w:hAnsi="Candara" w:cs="Arial"/>
        </w:rPr>
        <w:t>3</w:t>
      </w:r>
      <w:r w:rsidRPr="005D10C1">
        <w:rPr>
          <w:rFonts w:ascii="Candara" w:hAnsi="Candara" w:cs="Arial"/>
        </w:rPr>
        <w:t xml:space="preserve">), quienes proponen que las spin-offs pueden ser de tres tipos: ortodoxa, de tecnología e híbridas.  Las </w:t>
      </w:r>
      <w:r w:rsidRPr="005D10C1">
        <w:rPr>
          <w:rFonts w:ascii="Candara" w:hAnsi="Candara" w:cs="Arial"/>
          <w:i/>
        </w:rPr>
        <w:t>spin-offs ortodoxas</w:t>
      </w:r>
      <w:r w:rsidRPr="005D10C1">
        <w:rPr>
          <w:rFonts w:ascii="Candara" w:hAnsi="Candara" w:cs="Arial"/>
        </w:rPr>
        <w:t xml:space="preserve"> son aquellas creadas por uno o varios académicos que contribuyen con parte de la propiedad intelectual de la compañía y </w:t>
      </w:r>
      <w:r w:rsidRPr="000B06E5">
        <w:rPr>
          <w:rFonts w:ascii="Candara" w:hAnsi="Candara" w:cs="Arial"/>
          <w:highlight w:val="yellow"/>
        </w:rPr>
        <w:t>dejan la academia para dedicarse a la gestión de la empresa</w:t>
      </w:r>
      <w:r w:rsidRPr="005D10C1">
        <w:rPr>
          <w:rFonts w:ascii="Candara" w:hAnsi="Candara" w:cs="Arial"/>
        </w:rPr>
        <w:t xml:space="preserve">; estos académicos suelen denominarse </w:t>
      </w:r>
      <w:r w:rsidRPr="005D10C1">
        <w:rPr>
          <w:rFonts w:ascii="Candara" w:hAnsi="Candara" w:cs="Arial"/>
          <w:i/>
        </w:rPr>
        <w:t xml:space="preserve">emprendedores académicos. </w:t>
      </w:r>
      <w:r w:rsidRPr="005D10C1">
        <w:rPr>
          <w:rFonts w:ascii="Candara" w:hAnsi="Candara" w:cs="Arial"/>
        </w:rPr>
        <w:t xml:space="preserve">Las </w:t>
      </w:r>
      <w:r w:rsidRPr="005D10C1">
        <w:rPr>
          <w:rFonts w:ascii="Candara" w:hAnsi="Candara" w:cs="Arial"/>
          <w:i/>
        </w:rPr>
        <w:t>spin-offs de tecnología</w:t>
      </w:r>
      <w:r w:rsidRPr="005D10C1">
        <w:rPr>
          <w:rFonts w:ascii="Candara" w:hAnsi="Candara" w:cs="Arial"/>
        </w:rPr>
        <w:t xml:space="preserve"> son aquellas en las que un inversor o emprendedor externo compra los derechos sobre la </w:t>
      </w:r>
      <w:r w:rsidR="00392E21" w:rsidRPr="005D10C1">
        <w:rPr>
          <w:rFonts w:ascii="Candara" w:hAnsi="Candara" w:cs="Arial"/>
        </w:rPr>
        <w:t xml:space="preserve">explotación industrial y comercial </w:t>
      </w:r>
      <w:r w:rsidRPr="005D10C1">
        <w:rPr>
          <w:rFonts w:ascii="Candara" w:hAnsi="Candara" w:cs="Arial"/>
        </w:rPr>
        <w:t xml:space="preserve"> y crea una nueva empresa; en este caso, los investigadores siguen en su trabajo en la institución de origen y no tienen mayor relación con la gestión diaria de la compañía, aunque pueden participar como socios o actuar como consultores de la misma.  El último tipo de empresas, </w:t>
      </w:r>
      <w:r w:rsidRPr="005D10C1">
        <w:rPr>
          <w:rFonts w:ascii="Candara" w:hAnsi="Candara" w:cs="Arial"/>
          <w:i/>
        </w:rPr>
        <w:t>las spin-offs híbridas,</w:t>
      </w:r>
      <w:r w:rsidRPr="005D10C1">
        <w:rPr>
          <w:rFonts w:ascii="Candara" w:hAnsi="Candara" w:cs="Arial"/>
        </w:rPr>
        <w:t xml:space="preserve"> generalmente son las de mayor predominio y las más complejas; en estas empresas sólo una parte de los propietarios intelectuales de la tecnología (inventores) actúan como socios de la empresa; algunos pueden permanecer en la universidad y desempeñar algún cargo en la empresa, mientras que otros abandonan la universidad y se dedican completamente a la misma. Aquellos que se quedan en la universidad pueden asumir </w:t>
      </w:r>
      <w:r w:rsidRPr="005D10C1">
        <w:rPr>
          <w:rFonts w:ascii="Candara" w:hAnsi="Candara" w:cs="Arial"/>
        </w:rPr>
        <w:lastRenderedPageBreak/>
        <w:t>alguna responsabilidad operativa en la empresa, pertenecer al Comité científico o actuar como consultores a tiempo parcial; además, en este tipo de empresas, uno o varios de los fundadores se toman un periodo de año sabático para crear la empresa</w:t>
      </w:r>
      <w:r w:rsidR="00D04D2D" w:rsidRPr="005D10C1">
        <w:rPr>
          <w:rFonts w:ascii="Candara" w:hAnsi="Candara" w:cs="Arial"/>
        </w:rPr>
        <w:t xml:space="preserve"> </w:t>
      </w:r>
      <w:r w:rsidR="003B0D24" w:rsidRPr="005D10C1">
        <w:rPr>
          <w:rFonts w:ascii="Candara" w:hAnsi="Candara" w:cs="Arial"/>
        </w:rPr>
        <w:fldChar w:fldCharType="begin" w:fldLock="1"/>
      </w:r>
      <w:r w:rsidR="00CA1A09" w:rsidRPr="005D10C1">
        <w:rPr>
          <w:rFonts w:ascii="Candara" w:hAnsi="Candara" w:cs="Arial"/>
        </w:rPr>
        <w:instrText>ADDIN CSL_CITATION { "citationItems" : [ { "id" : "ITEM-1", "itemData" : { "abstract" : "The paper adopts a network perspective in an attempt to understand the underlying mechanisms generating the different university spinout structures. In this respect, we propose a trichotomous categorisation of university spinouts into orthodox, hybrid and technology spinouts and argue that the academic's embeddedness in a network of exoinstitutional and endoinstitutional ties influences the type of spinout initiated. We draw from some of the recent network research that has adopted a contingency approach in explaining the value of social networks.", "author" : [ { "dropping-particle" : "", "family" : "Nicolaou", "given" : "N", "non-dropping-particle" : "", "parse-names" : false, "suffix" : "" }, { "dropping-particle" : "", "family" : "Birley", "given" : "Sue", "non-dropping-particle" : "", "parse-names" : false, "suffix" : "" } ], "container-title" : "Journal of Business Venturing", "id" : "ITEM-1", "issue" : "3", "issued" : { "date-parts" : [ [ "2003" ] ] }, "page" : "333-359", "title" : "Academic networks in a trichotomous categorisation of university spinouts", "type" : "article-journal", "volume" : "18" }, "uris" : [ "http://www.mendeley.com/documents/?uuid=c82468ff-6391-4def-8400-359afaba7cfe" ] } ], "mendeley" : { "previouslyFormattedCitation" : "(Nicolaou &amp; Birley, 2003)" }, "properties" : { "noteIndex" : 0 }, "schema" : "https://github.com/citation-style-language/schema/raw/master/csl-citation.json" }</w:instrText>
      </w:r>
      <w:r w:rsidR="003B0D24" w:rsidRPr="005D10C1">
        <w:rPr>
          <w:rFonts w:ascii="Candara" w:hAnsi="Candara" w:cs="Arial"/>
        </w:rPr>
        <w:fldChar w:fldCharType="separate"/>
      </w:r>
      <w:r w:rsidR="00D04D2D" w:rsidRPr="005D10C1">
        <w:rPr>
          <w:rFonts w:ascii="Candara" w:hAnsi="Candara" w:cs="Arial"/>
          <w:noProof/>
        </w:rPr>
        <w:t>(Nicolaou &amp; Birley, 2003)</w:t>
      </w:r>
      <w:r w:rsidR="003B0D24" w:rsidRPr="005D10C1">
        <w:rPr>
          <w:rFonts w:ascii="Candara" w:hAnsi="Candara" w:cs="Arial"/>
        </w:rPr>
        <w:fldChar w:fldCharType="end"/>
      </w:r>
      <w:r w:rsidRPr="005D10C1">
        <w:rPr>
          <w:rFonts w:ascii="Candara" w:hAnsi="Candara" w:cs="Arial"/>
        </w:rPr>
        <w:t xml:space="preserve">. </w:t>
      </w:r>
    </w:p>
    <w:p w14:paraId="1A852DD9" w14:textId="77777777" w:rsidR="00804D9B" w:rsidRPr="005D10C1" w:rsidRDefault="00804D9B" w:rsidP="00392712">
      <w:pPr>
        <w:autoSpaceDE w:val="0"/>
        <w:autoSpaceDN w:val="0"/>
        <w:adjustRightInd w:val="0"/>
        <w:spacing w:line="360" w:lineRule="auto"/>
        <w:rPr>
          <w:rFonts w:ascii="Candara" w:hAnsi="Candara" w:cs="Arial"/>
        </w:rPr>
      </w:pPr>
    </w:p>
    <w:p w14:paraId="023C8E17" w14:textId="77777777" w:rsidR="00392712" w:rsidRPr="005D10C1" w:rsidRDefault="00804D9B" w:rsidP="00392712">
      <w:pPr>
        <w:autoSpaceDE w:val="0"/>
        <w:autoSpaceDN w:val="0"/>
        <w:adjustRightInd w:val="0"/>
        <w:spacing w:line="360" w:lineRule="auto"/>
        <w:rPr>
          <w:rFonts w:ascii="Candara" w:hAnsi="Candara" w:cs="Arial"/>
        </w:rPr>
      </w:pPr>
      <w:r w:rsidRPr="005D10C1">
        <w:rPr>
          <w:rFonts w:ascii="Candara" w:hAnsi="Candara" w:cs="Arial"/>
        </w:rPr>
        <w:t>Finalmente, es importante considerar s</w:t>
      </w:r>
      <w:r w:rsidR="00392712" w:rsidRPr="005D10C1">
        <w:rPr>
          <w:rFonts w:ascii="Candara" w:hAnsi="Candara" w:cs="Arial"/>
        </w:rPr>
        <w:t xml:space="preserve">i el </w:t>
      </w:r>
      <w:r w:rsidR="00392712" w:rsidRPr="005D10C1">
        <w:rPr>
          <w:rFonts w:ascii="Candara" w:hAnsi="Candara" w:cs="Arial"/>
          <w:b/>
        </w:rPr>
        <w:t xml:space="preserve">conocimiento transferido </w:t>
      </w:r>
      <w:r w:rsidR="00F65E1D" w:rsidRPr="005D10C1">
        <w:rPr>
          <w:rFonts w:ascii="Candara" w:hAnsi="Candara" w:cs="Arial"/>
          <w:b/>
        </w:rPr>
        <w:t>ha sido licenciado,</w:t>
      </w:r>
      <w:r w:rsidRPr="005D10C1">
        <w:rPr>
          <w:rFonts w:ascii="Candara" w:hAnsi="Candara" w:cs="Arial"/>
        </w:rPr>
        <w:t xml:space="preserve"> en este sentido</w:t>
      </w:r>
      <w:r w:rsidR="00392712" w:rsidRPr="005D10C1">
        <w:rPr>
          <w:rFonts w:ascii="Candara" w:hAnsi="Candara" w:cs="Arial"/>
        </w:rPr>
        <w:t xml:space="preserve"> se puede distinguir entre </w:t>
      </w:r>
      <w:r w:rsidR="003B0D24" w:rsidRPr="005D10C1">
        <w:rPr>
          <w:rFonts w:ascii="Candara" w:hAnsi="Candara" w:cs="Arial"/>
        </w:rPr>
        <w:fldChar w:fldCharType="begin" w:fldLock="1"/>
      </w:r>
      <w:r w:rsidR="00CA1A09" w:rsidRPr="005D10C1">
        <w:rPr>
          <w:rFonts w:ascii="Candara" w:hAnsi="Candara" w:cs="Arial"/>
        </w:rPr>
        <w:instrText>ADDIN CSL_CITATION { "citationItems" : [ { "id" : "ITEM-1", "itemData" : { "DOI" : "10.1016/j.jbusvent.2004.07.002", "ISSN" : "08839026", "author" : [ { "dropping-particle" : "", "family" : "Grandi", "given" : "", "non-dropping-particle" : "", "parse-names" : false, "suffix" : "" }, { "dropping-particle" : "", "family" : "Grimaldi", "given" : "Rosa", "non-dropping-particle" : "", "parse-names" : false, "suffix" : "" } ], "container-title" : "Journal of Business Venturing", "id" : "ITEM-1", "issue" : "6", "issued" : { "date-parts" : [ [ "2005", "11" ] ] }, "page" : "821-845", "title" : "Academics' organizational characteristics and the generation of successful business ideas", "type" : "article-journal", "volume" : "20" }, "uris" : [ "http://www.mendeley.com/documents/?uuid=8d803696-783e-422d-abe7-93e9d40872e4" ] } ], "mendeley" : { "previouslyFormattedCitation" : "(Grandi &amp; Grimaldi, 2005)" }, "properties" : { "noteIndex" : 0 }, "schema" : "https://github.com/citation-style-language/schema/raw/master/csl-citation.json" }</w:instrText>
      </w:r>
      <w:r w:rsidR="003B0D24" w:rsidRPr="005D10C1">
        <w:rPr>
          <w:rFonts w:ascii="Candara" w:hAnsi="Candara" w:cs="Arial"/>
        </w:rPr>
        <w:fldChar w:fldCharType="separate"/>
      </w:r>
      <w:r w:rsidR="00392712" w:rsidRPr="005D10C1">
        <w:rPr>
          <w:rFonts w:ascii="Candara" w:hAnsi="Candara" w:cs="Arial"/>
          <w:noProof/>
        </w:rPr>
        <w:t>(Grandi &amp; Grimaldi, 2005)</w:t>
      </w:r>
      <w:r w:rsidR="003B0D24" w:rsidRPr="005D10C1">
        <w:rPr>
          <w:rFonts w:ascii="Candara" w:hAnsi="Candara" w:cs="Arial"/>
        </w:rPr>
        <w:fldChar w:fldCharType="end"/>
      </w:r>
      <w:r w:rsidR="00392712" w:rsidRPr="005D10C1">
        <w:rPr>
          <w:rFonts w:ascii="Candara" w:hAnsi="Candara" w:cs="Arial"/>
        </w:rPr>
        <w:t>:</w:t>
      </w:r>
    </w:p>
    <w:p w14:paraId="6823BAEE" w14:textId="77777777" w:rsidR="00392712" w:rsidRPr="005D10C1" w:rsidRDefault="00392712" w:rsidP="001B24A9">
      <w:pPr>
        <w:pStyle w:val="Prrafodelista"/>
        <w:numPr>
          <w:ilvl w:val="0"/>
          <w:numId w:val="3"/>
        </w:numPr>
        <w:autoSpaceDE w:val="0"/>
        <w:autoSpaceDN w:val="0"/>
        <w:adjustRightInd w:val="0"/>
        <w:spacing w:line="360" w:lineRule="auto"/>
        <w:rPr>
          <w:rFonts w:ascii="Candara" w:hAnsi="Candara" w:cs="Arial"/>
        </w:rPr>
      </w:pPr>
      <w:r w:rsidRPr="005D10C1">
        <w:rPr>
          <w:rFonts w:ascii="Candara" w:hAnsi="Candara" w:cs="Arial"/>
          <w:i/>
        </w:rPr>
        <w:t>Spin-offs</w:t>
      </w:r>
      <w:r w:rsidRPr="005D10C1">
        <w:rPr>
          <w:rFonts w:ascii="Candara" w:hAnsi="Candara" w:cs="Arial"/>
        </w:rPr>
        <w:t xml:space="preserve"> basadas en tecnología patentada </w:t>
      </w:r>
      <w:r w:rsidRPr="005D10C1">
        <w:rPr>
          <w:rFonts w:ascii="Candara" w:hAnsi="Candara" w:cs="Arial"/>
          <w:i/>
        </w:rPr>
        <w:t>(Assigned</w:t>
      </w:r>
      <w:r w:rsidR="00804D9B" w:rsidRPr="005D10C1">
        <w:rPr>
          <w:rFonts w:ascii="Candara" w:hAnsi="Candara" w:cs="Arial"/>
          <w:i/>
        </w:rPr>
        <w:t xml:space="preserve"> </w:t>
      </w:r>
      <w:r w:rsidRPr="005D10C1">
        <w:rPr>
          <w:rFonts w:ascii="Candara" w:hAnsi="Candara" w:cs="Arial"/>
          <w:i/>
        </w:rPr>
        <w:t>technology</w:t>
      </w:r>
      <w:r w:rsidR="00804D9B" w:rsidRPr="005D10C1">
        <w:rPr>
          <w:rFonts w:ascii="Candara" w:hAnsi="Candara" w:cs="Arial"/>
          <w:i/>
        </w:rPr>
        <w:t xml:space="preserve"> </w:t>
      </w:r>
      <w:r w:rsidRPr="005D10C1">
        <w:rPr>
          <w:rFonts w:ascii="Candara" w:hAnsi="Candara" w:cs="Arial"/>
          <w:i/>
        </w:rPr>
        <w:t>based spin-offs</w:t>
      </w:r>
      <w:r w:rsidRPr="005D10C1">
        <w:rPr>
          <w:rFonts w:ascii="Candara" w:hAnsi="Candara" w:cs="Arial"/>
        </w:rPr>
        <w:t xml:space="preserve">): </w:t>
      </w:r>
      <w:r w:rsidRPr="005D10C1">
        <w:rPr>
          <w:rFonts w:ascii="Candara" w:hAnsi="Candara" w:cs="Arial"/>
          <w:i/>
        </w:rPr>
        <w:t>spin-offs</w:t>
      </w:r>
      <w:r w:rsidR="00804D9B" w:rsidRPr="005D10C1">
        <w:rPr>
          <w:rFonts w:ascii="Candara" w:hAnsi="Candara" w:cs="Arial"/>
          <w:i/>
        </w:rPr>
        <w:t xml:space="preserve"> </w:t>
      </w:r>
      <w:r w:rsidRPr="005D10C1">
        <w:rPr>
          <w:rFonts w:ascii="Candara" w:hAnsi="Candara" w:cs="Arial"/>
        </w:rPr>
        <w:t xml:space="preserve">creadas para explotar la licencia de una tecnología patentada por la universidad. </w:t>
      </w:r>
    </w:p>
    <w:p w14:paraId="3DC72D9B" w14:textId="77777777" w:rsidR="00392712" w:rsidRPr="005D10C1" w:rsidRDefault="00392712" w:rsidP="001B24A9">
      <w:pPr>
        <w:pStyle w:val="Prrafodelista"/>
        <w:numPr>
          <w:ilvl w:val="0"/>
          <w:numId w:val="3"/>
        </w:numPr>
        <w:autoSpaceDE w:val="0"/>
        <w:autoSpaceDN w:val="0"/>
        <w:adjustRightInd w:val="0"/>
        <w:spacing w:line="360" w:lineRule="auto"/>
        <w:rPr>
          <w:rFonts w:ascii="Candara" w:hAnsi="Candara" w:cs="Arial"/>
        </w:rPr>
      </w:pPr>
      <w:r w:rsidRPr="005D10C1">
        <w:rPr>
          <w:rFonts w:ascii="Candara" w:hAnsi="Candara" w:cs="Arial"/>
          <w:i/>
        </w:rPr>
        <w:t>Spin-offs basadas en tecnología no patentada</w:t>
      </w:r>
      <w:r w:rsidRPr="005D10C1">
        <w:rPr>
          <w:rFonts w:ascii="Candara" w:hAnsi="Candara" w:cs="Arial"/>
        </w:rPr>
        <w:t xml:space="preserve"> (</w:t>
      </w:r>
      <w:r w:rsidRPr="005D10C1">
        <w:rPr>
          <w:rFonts w:ascii="Candara" w:hAnsi="Candara" w:cs="Arial"/>
          <w:i/>
        </w:rPr>
        <w:t>Non-assigned</w:t>
      </w:r>
      <w:r w:rsidR="00927AEB" w:rsidRPr="005D10C1">
        <w:rPr>
          <w:rFonts w:ascii="Candara" w:hAnsi="Candara" w:cs="Arial"/>
          <w:i/>
        </w:rPr>
        <w:t xml:space="preserve"> </w:t>
      </w:r>
      <w:r w:rsidRPr="005D10C1">
        <w:rPr>
          <w:rFonts w:ascii="Candara" w:hAnsi="Candara" w:cs="Arial"/>
          <w:i/>
        </w:rPr>
        <w:t>technology</w:t>
      </w:r>
      <w:r w:rsidR="00927AEB" w:rsidRPr="005D10C1">
        <w:rPr>
          <w:rFonts w:ascii="Candara" w:hAnsi="Candara" w:cs="Arial"/>
          <w:i/>
        </w:rPr>
        <w:t xml:space="preserve"> </w:t>
      </w:r>
      <w:r w:rsidRPr="005D10C1">
        <w:rPr>
          <w:rFonts w:ascii="Candara" w:hAnsi="Candara" w:cs="Arial"/>
          <w:i/>
        </w:rPr>
        <w:t>based spin-offs</w:t>
      </w:r>
      <w:r w:rsidRPr="005D10C1">
        <w:rPr>
          <w:rFonts w:ascii="Candara" w:hAnsi="Candara" w:cs="Arial"/>
        </w:rPr>
        <w:t xml:space="preserve">): </w:t>
      </w:r>
      <w:r w:rsidRPr="005D10C1">
        <w:rPr>
          <w:rFonts w:ascii="Candara" w:hAnsi="Candara" w:cs="Arial"/>
          <w:i/>
        </w:rPr>
        <w:t>spin-offs</w:t>
      </w:r>
      <w:r w:rsidRPr="005D10C1">
        <w:rPr>
          <w:rFonts w:ascii="Candara" w:hAnsi="Candara" w:cs="Arial"/>
        </w:rPr>
        <w:t xml:space="preserve"> universitarias creadas para explotar un conocimiento no patentado por la universidad, normalmente, de carácter más genérico o que puede estar basado en u</w:t>
      </w:r>
      <w:r w:rsidR="009D403D" w:rsidRPr="005D10C1">
        <w:rPr>
          <w:rFonts w:ascii="Candara" w:hAnsi="Candara" w:cs="Arial"/>
        </w:rPr>
        <w:t>n expertise o en un saber hacer.</w:t>
      </w:r>
    </w:p>
    <w:p w14:paraId="1D2D686E" w14:textId="77777777" w:rsidR="003F0838" w:rsidRPr="005D10C1" w:rsidRDefault="003F0838" w:rsidP="0080480E">
      <w:pPr>
        <w:autoSpaceDE w:val="0"/>
        <w:autoSpaceDN w:val="0"/>
        <w:adjustRightInd w:val="0"/>
        <w:spacing w:line="360" w:lineRule="auto"/>
        <w:rPr>
          <w:rFonts w:ascii="Candara" w:hAnsi="Candara" w:cs="Arial"/>
        </w:rPr>
      </w:pPr>
    </w:p>
    <w:p w14:paraId="720C049F" w14:textId="77777777" w:rsidR="0080480E" w:rsidRPr="005D10C1" w:rsidRDefault="0080480E" w:rsidP="0080480E">
      <w:pPr>
        <w:autoSpaceDE w:val="0"/>
        <w:autoSpaceDN w:val="0"/>
        <w:adjustRightInd w:val="0"/>
        <w:spacing w:line="360" w:lineRule="auto"/>
        <w:rPr>
          <w:rFonts w:ascii="Candara" w:hAnsi="Candara" w:cs="Arial"/>
        </w:rPr>
      </w:pPr>
      <w:r w:rsidRPr="005D10C1">
        <w:rPr>
          <w:rFonts w:ascii="Candara" w:hAnsi="Candara" w:cs="Arial"/>
        </w:rPr>
        <w:t xml:space="preserve">En la </w:t>
      </w:r>
      <w:r w:rsidR="00A57352">
        <w:fldChar w:fldCharType="begin"/>
      </w:r>
      <w:r w:rsidR="00A57352">
        <w:instrText xml:space="preserve"> REF _Ref367365525 \h  \* MERGEFORMAT </w:instrText>
      </w:r>
      <w:r w:rsidR="00A57352">
        <w:fldChar w:fldCharType="separate"/>
      </w:r>
      <w:r w:rsidR="005D10C1" w:rsidRPr="005D10C1">
        <w:rPr>
          <w:rFonts w:ascii="Candara" w:hAnsi="Candara"/>
        </w:rPr>
        <w:t xml:space="preserve">Tabla </w:t>
      </w:r>
      <w:r w:rsidR="005D10C1">
        <w:rPr>
          <w:rFonts w:ascii="Candara" w:hAnsi="Candara"/>
        </w:rPr>
        <w:t>1</w:t>
      </w:r>
      <w:r w:rsidR="00A57352">
        <w:fldChar w:fldCharType="end"/>
      </w:r>
      <w:r w:rsidRPr="005D10C1">
        <w:rPr>
          <w:rFonts w:ascii="Candara" w:hAnsi="Candara" w:cs="Arial"/>
        </w:rPr>
        <w:t xml:space="preserve"> se hace una recopilación de las </w:t>
      </w:r>
      <w:r w:rsidR="007140DA" w:rsidRPr="005D10C1">
        <w:rPr>
          <w:rFonts w:ascii="Candara" w:hAnsi="Candara" w:cs="Arial"/>
        </w:rPr>
        <w:t xml:space="preserve">tipologías </w:t>
      </w:r>
      <w:r w:rsidR="007140DA" w:rsidRPr="005D10C1">
        <w:rPr>
          <w:rFonts w:ascii="Candara" w:hAnsi="Candara" w:cs="Arial"/>
        </w:rPr>
        <w:tab/>
        <w:t>presentadas</w:t>
      </w:r>
      <w:r w:rsidRPr="005D10C1">
        <w:rPr>
          <w:rFonts w:ascii="Candara" w:hAnsi="Candara" w:cs="Arial"/>
        </w:rPr>
        <w:t xml:space="preserve">, en la que se realiza la debida clasificación y se menciona como es la relación con la institución matriz (universidad). Los </w:t>
      </w:r>
      <w:r w:rsidR="007140DA" w:rsidRPr="005D10C1">
        <w:rPr>
          <w:rFonts w:ascii="Candara" w:hAnsi="Candara" w:cs="Arial"/>
        </w:rPr>
        <w:t>asteriscos (</w:t>
      </w:r>
      <w:r w:rsidRPr="005D10C1">
        <w:rPr>
          <w:rFonts w:ascii="Candara" w:hAnsi="Candara" w:cs="Arial"/>
          <w:b/>
        </w:rPr>
        <w:t>*</w:t>
      </w:r>
      <w:r w:rsidR="007140DA" w:rsidRPr="005D10C1">
        <w:rPr>
          <w:rFonts w:ascii="Candara" w:hAnsi="Candara" w:cs="Arial"/>
          <w:b/>
        </w:rPr>
        <w:t>)</w:t>
      </w:r>
      <w:r w:rsidRPr="005D10C1">
        <w:rPr>
          <w:rFonts w:ascii="Candara" w:hAnsi="Candara" w:cs="Arial"/>
        </w:rPr>
        <w:t xml:space="preserve"> indican que en esta definición este tipo de firmas guardan relación entre el investigador y la universidad, por tanto, las inhabilidades que se tratarán en este proyecto están relacionado con este tipo de clasificación.</w:t>
      </w:r>
    </w:p>
    <w:p w14:paraId="521A3E99" w14:textId="77777777" w:rsidR="00392712" w:rsidRPr="005D10C1" w:rsidRDefault="00392712" w:rsidP="00392712">
      <w:pPr>
        <w:autoSpaceDE w:val="0"/>
        <w:autoSpaceDN w:val="0"/>
        <w:adjustRightInd w:val="0"/>
        <w:spacing w:line="360" w:lineRule="auto"/>
        <w:rPr>
          <w:rFonts w:ascii="Candara" w:hAnsi="Candara" w:cs="Arial"/>
        </w:rPr>
      </w:pPr>
    </w:p>
    <w:tbl>
      <w:tblPr>
        <w:tblW w:w="5000" w:type="pct"/>
        <w:jc w:val="center"/>
        <w:tblCellMar>
          <w:left w:w="70" w:type="dxa"/>
          <w:right w:w="70" w:type="dxa"/>
        </w:tblCellMar>
        <w:tblLook w:val="04A0" w:firstRow="1" w:lastRow="0" w:firstColumn="1" w:lastColumn="0" w:noHBand="0" w:noVBand="1"/>
      </w:tblPr>
      <w:tblGrid>
        <w:gridCol w:w="1873"/>
        <w:gridCol w:w="2795"/>
        <w:gridCol w:w="4160"/>
      </w:tblGrid>
      <w:tr w:rsidR="00392712" w:rsidRPr="005D10C1" w14:paraId="272CE7A2" w14:textId="77777777" w:rsidTr="000B06E5">
        <w:trPr>
          <w:trHeight w:val="315"/>
          <w:jc w:val="center"/>
        </w:trPr>
        <w:tc>
          <w:tcPr>
            <w:tcW w:w="10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3E050B8" w14:textId="77777777" w:rsidR="00392712" w:rsidRPr="005D10C1" w:rsidRDefault="00392712" w:rsidP="000B06E5">
            <w:pPr>
              <w:spacing w:line="240" w:lineRule="auto"/>
              <w:jc w:val="left"/>
              <w:rPr>
                <w:rFonts w:ascii="Candara" w:eastAsia="Times New Roman" w:hAnsi="Candara" w:cs="Arial"/>
                <w:b/>
                <w:bCs/>
                <w:lang w:eastAsia="es-CO"/>
              </w:rPr>
            </w:pPr>
            <w:r w:rsidRPr="005D10C1">
              <w:rPr>
                <w:rFonts w:ascii="Candara" w:eastAsia="Times New Roman" w:hAnsi="Candara" w:cs="Arial"/>
                <w:b/>
                <w:bCs/>
                <w:lang w:eastAsia="es-CO"/>
              </w:rPr>
              <w:t>Característica</w:t>
            </w:r>
          </w:p>
        </w:tc>
        <w:tc>
          <w:tcPr>
            <w:tcW w:w="1583" w:type="pct"/>
            <w:tcBorders>
              <w:top w:val="single" w:sz="4" w:space="0" w:color="auto"/>
              <w:left w:val="nil"/>
              <w:bottom w:val="single" w:sz="4" w:space="0" w:color="auto"/>
              <w:right w:val="single" w:sz="4" w:space="0" w:color="auto"/>
            </w:tcBorders>
            <w:shd w:val="clear" w:color="auto" w:fill="auto"/>
            <w:vAlign w:val="center"/>
            <w:hideMark/>
          </w:tcPr>
          <w:p w14:paraId="5F857437" w14:textId="77777777" w:rsidR="00392712" w:rsidRPr="005D10C1" w:rsidRDefault="00392712" w:rsidP="000B06E5">
            <w:pPr>
              <w:spacing w:line="240" w:lineRule="auto"/>
              <w:jc w:val="left"/>
              <w:rPr>
                <w:rFonts w:ascii="Candara" w:eastAsia="Times New Roman" w:hAnsi="Candara" w:cs="Arial"/>
                <w:b/>
                <w:bCs/>
                <w:lang w:eastAsia="es-CO"/>
              </w:rPr>
            </w:pPr>
            <w:r w:rsidRPr="005D10C1">
              <w:rPr>
                <w:rFonts w:ascii="Candara" w:eastAsia="Times New Roman" w:hAnsi="Candara" w:cs="Arial"/>
                <w:b/>
                <w:bCs/>
                <w:lang w:eastAsia="es-CO"/>
              </w:rPr>
              <w:t>Clasificación</w:t>
            </w:r>
          </w:p>
        </w:tc>
        <w:tc>
          <w:tcPr>
            <w:tcW w:w="2356" w:type="pct"/>
            <w:tcBorders>
              <w:top w:val="single" w:sz="4" w:space="0" w:color="auto"/>
              <w:left w:val="nil"/>
              <w:bottom w:val="single" w:sz="4" w:space="0" w:color="auto"/>
              <w:right w:val="single" w:sz="4" w:space="0" w:color="auto"/>
            </w:tcBorders>
            <w:shd w:val="clear" w:color="auto" w:fill="auto"/>
            <w:vAlign w:val="center"/>
            <w:hideMark/>
          </w:tcPr>
          <w:p w14:paraId="1DC845DD" w14:textId="77777777" w:rsidR="00392712" w:rsidRPr="005D10C1" w:rsidRDefault="00392712" w:rsidP="000B06E5">
            <w:pPr>
              <w:spacing w:line="240" w:lineRule="auto"/>
              <w:jc w:val="left"/>
              <w:rPr>
                <w:rFonts w:ascii="Candara" w:eastAsia="Times New Roman" w:hAnsi="Candara" w:cs="Arial"/>
                <w:b/>
                <w:bCs/>
                <w:lang w:eastAsia="es-CO"/>
              </w:rPr>
            </w:pPr>
            <w:r w:rsidRPr="005D10C1">
              <w:rPr>
                <w:rFonts w:ascii="Candara" w:eastAsia="Times New Roman" w:hAnsi="Candara" w:cs="Arial"/>
                <w:b/>
                <w:bCs/>
                <w:lang w:eastAsia="es-CO"/>
              </w:rPr>
              <w:t>Relación con la Universidad madre</w:t>
            </w:r>
          </w:p>
        </w:tc>
      </w:tr>
      <w:tr w:rsidR="00392712" w:rsidRPr="005D10C1" w14:paraId="5BEC9F58" w14:textId="77777777" w:rsidTr="000B06E5">
        <w:trPr>
          <w:trHeight w:val="300"/>
          <w:jc w:val="center"/>
        </w:trPr>
        <w:tc>
          <w:tcPr>
            <w:tcW w:w="1061" w:type="pct"/>
            <w:vMerge w:val="restart"/>
            <w:tcBorders>
              <w:top w:val="nil"/>
              <w:left w:val="single" w:sz="4" w:space="0" w:color="auto"/>
              <w:bottom w:val="single" w:sz="4" w:space="0" w:color="auto"/>
              <w:right w:val="single" w:sz="4" w:space="0" w:color="auto"/>
            </w:tcBorders>
            <w:shd w:val="clear" w:color="auto" w:fill="auto"/>
            <w:vAlign w:val="center"/>
            <w:hideMark/>
          </w:tcPr>
          <w:p w14:paraId="00BEFC1C" w14:textId="77777777" w:rsidR="00392712" w:rsidRPr="005D10C1" w:rsidRDefault="00392712" w:rsidP="000B06E5">
            <w:pPr>
              <w:spacing w:line="240" w:lineRule="auto"/>
              <w:jc w:val="left"/>
              <w:rPr>
                <w:rFonts w:ascii="Candara" w:eastAsia="Times New Roman" w:hAnsi="Candara" w:cs="Arial"/>
                <w:lang w:eastAsia="es-CO"/>
              </w:rPr>
            </w:pPr>
            <w:r w:rsidRPr="005D10C1">
              <w:rPr>
                <w:rFonts w:ascii="Candara" w:eastAsia="Times New Roman" w:hAnsi="Candara" w:cs="Arial"/>
                <w:lang w:eastAsia="es-CO"/>
              </w:rPr>
              <w:t>Sector de procedencia</w:t>
            </w:r>
          </w:p>
        </w:tc>
        <w:tc>
          <w:tcPr>
            <w:tcW w:w="1583" w:type="pct"/>
            <w:tcBorders>
              <w:top w:val="nil"/>
              <w:left w:val="nil"/>
              <w:bottom w:val="single" w:sz="4" w:space="0" w:color="auto"/>
              <w:right w:val="single" w:sz="4" w:space="0" w:color="auto"/>
            </w:tcBorders>
            <w:shd w:val="clear" w:color="auto" w:fill="auto"/>
            <w:vAlign w:val="center"/>
            <w:hideMark/>
          </w:tcPr>
          <w:p w14:paraId="39DA71E0" w14:textId="77777777" w:rsidR="00392712" w:rsidRPr="005D10C1" w:rsidRDefault="00392712" w:rsidP="000B06E5">
            <w:pPr>
              <w:spacing w:line="240" w:lineRule="auto"/>
              <w:jc w:val="left"/>
              <w:rPr>
                <w:rFonts w:ascii="Candara" w:eastAsia="Times New Roman" w:hAnsi="Candara" w:cs="Arial"/>
                <w:lang w:eastAsia="es-CO"/>
              </w:rPr>
            </w:pPr>
            <w:r w:rsidRPr="005D10C1">
              <w:rPr>
                <w:rFonts w:ascii="Candara" w:eastAsia="Times New Roman" w:hAnsi="Candara" w:cs="Arial"/>
                <w:i/>
                <w:lang w:eastAsia="es-CO"/>
              </w:rPr>
              <w:t>Spin Off</w:t>
            </w:r>
            <w:r w:rsidRPr="005D10C1">
              <w:rPr>
                <w:rFonts w:ascii="Candara" w:eastAsia="Times New Roman" w:hAnsi="Candara" w:cs="Arial"/>
                <w:lang w:eastAsia="es-CO"/>
              </w:rPr>
              <w:t xml:space="preserve"> Pública</w:t>
            </w:r>
          </w:p>
        </w:tc>
        <w:tc>
          <w:tcPr>
            <w:tcW w:w="2356" w:type="pct"/>
            <w:tcBorders>
              <w:top w:val="nil"/>
              <w:left w:val="nil"/>
              <w:bottom w:val="single" w:sz="4" w:space="0" w:color="auto"/>
              <w:right w:val="single" w:sz="4" w:space="0" w:color="auto"/>
            </w:tcBorders>
            <w:shd w:val="clear" w:color="auto" w:fill="auto"/>
            <w:vAlign w:val="center"/>
            <w:hideMark/>
          </w:tcPr>
          <w:p w14:paraId="0C4F5E98" w14:textId="77777777" w:rsidR="00392712" w:rsidRPr="005D10C1" w:rsidRDefault="00392712" w:rsidP="000B06E5">
            <w:pPr>
              <w:spacing w:line="240" w:lineRule="auto"/>
              <w:jc w:val="left"/>
              <w:rPr>
                <w:rFonts w:ascii="Candara" w:eastAsia="Times New Roman" w:hAnsi="Candara" w:cs="Arial"/>
                <w:lang w:eastAsia="es-CO"/>
              </w:rPr>
            </w:pPr>
            <w:r w:rsidRPr="005D10C1">
              <w:rPr>
                <w:rFonts w:ascii="Candara" w:eastAsia="Times New Roman" w:hAnsi="Candara" w:cs="Arial"/>
                <w:lang w:eastAsia="es-CO"/>
              </w:rPr>
              <w:t>No es específico</w:t>
            </w:r>
          </w:p>
        </w:tc>
      </w:tr>
      <w:tr w:rsidR="00392712" w:rsidRPr="005D10C1" w14:paraId="091BF961" w14:textId="77777777" w:rsidTr="000B06E5">
        <w:trPr>
          <w:trHeight w:val="300"/>
          <w:jc w:val="center"/>
        </w:trPr>
        <w:tc>
          <w:tcPr>
            <w:tcW w:w="1061" w:type="pct"/>
            <w:vMerge/>
            <w:tcBorders>
              <w:top w:val="nil"/>
              <w:left w:val="single" w:sz="4" w:space="0" w:color="auto"/>
              <w:bottom w:val="single" w:sz="4" w:space="0" w:color="auto"/>
              <w:right w:val="single" w:sz="4" w:space="0" w:color="auto"/>
            </w:tcBorders>
            <w:vAlign w:val="center"/>
            <w:hideMark/>
          </w:tcPr>
          <w:p w14:paraId="1FA9E0AB" w14:textId="77777777" w:rsidR="00392712" w:rsidRPr="005D10C1" w:rsidRDefault="00392712" w:rsidP="000B06E5">
            <w:pPr>
              <w:spacing w:line="240" w:lineRule="auto"/>
              <w:jc w:val="left"/>
              <w:rPr>
                <w:rFonts w:ascii="Candara" w:eastAsia="Times New Roman" w:hAnsi="Candara" w:cs="Arial"/>
                <w:lang w:eastAsia="es-CO"/>
              </w:rPr>
            </w:pPr>
          </w:p>
        </w:tc>
        <w:tc>
          <w:tcPr>
            <w:tcW w:w="1583" w:type="pct"/>
            <w:tcBorders>
              <w:top w:val="nil"/>
              <w:left w:val="nil"/>
              <w:bottom w:val="single" w:sz="4" w:space="0" w:color="auto"/>
              <w:right w:val="single" w:sz="4" w:space="0" w:color="auto"/>
            </w:tcBorders>
            <w:shd w:val="clear" w:color="auto" w:fill="auto"/>
            <w:vAlign w:val="center"/>
            <w:hideMark/>
          </w:tcPr>
          <w:p w14:paraId="531CB099" w14:textId="77777777" w:rsidR="00392712" w:rsidRPr="005D10C1" w:rsidRDefault="00392712" w:rsidP="000B06E5">
            <w:pPr>
              <w:spacing w:line="240" w:lineRule="auto"/>
              <w:jc w:val="left"/>
              <w:rPr>
                <w:rFonts w:ascii="Candara" w:eastAsia="Times New Roman" w:hAnsi="Candara" w:cs="Arial"/>
                <w:lang w:eastAsia="es-CO"/>
              </w:rPr>
            </w:pPr>
            <w:r w:rsidRPr="005D10C1">
              <w:rPr>
                <w:rFonts w:ascii="Candara" w:eastAsia="Times New Roman" w:hAnsi="Candara" w:cs="Arial"/>
                <w:i/>
                <w:lang w:eastAsia="es-CO"/>
              </w:rPr>
              <w:t>Spin-Off</w:t>
            </w:r>
            <w:r w:rsidRPr="005D10C1">
              <w:rPr>
                <w:rFonts w:ascii="Candara" w:eastAsia="Times New Roman" w:hAnsi="Candara" w:cs="Arial"/>
                <w:lang w:eastAsia="es-CO"/>
              </w:rPr>
              <w:t xml:space="preserve"> privada</w:t>
            </w:r>
          </w:p>
        </w:tc>
        <w:tc>
          <w:tcPr>
            <w:tcW w:w="2356" w:type="pct"/>
            <w:tcBorders>
              <w:top w:val="nil"/>
              <w:left w:val="nil"/>
              <w:bottom w:val="single" w:sz="4" w:space="0" w:color="auto"/>
              <w:right w:val="single" w:sz="4" w:space="0" w:color="auto"/>
            </w:tcBorders>
            <w:shd w:val="clear" w:color="auto" w:fill="auto"/>
            <w:vAlign w:val="center"/>
            <w:hideMark/>
          </w:tcPr>
          <w:p w14:paraId="0EAFCB6E" w14:textId="77777777" w:rsidR="00392712" w:rsidRPr="005D10C1" w:rsidRDefault="00392712" w:rsidP="000B06E5">
            <w:pPr>
              <w:spacing w:line="240" w:lineRule="auto"/>
              <w:jc w:val="left"/>
              <w:rPr>
                <w:rFonts w:ascii="Candara" w:eastAsia="Times New Roman" w:hAnsi="Candara" w:cs="Arial"/>
                <w:lang w:eastAsia="es-CO"/>
              </w:rPr>
            </w:pPr>
            <w:r w:rsidRPr="005D10C1">
              <w:rPr>
                <w:rFonts w:ascii="Candara" w:eastAsia="Times New Roman" w:hAnsi="Candara" w:cs="Arial"/>
                <w:lang w:eastAsia="es-CO"/>
              </w:rPr>
              <w:t>No es específico</w:t>
            </w:r>
          </w:p>
        </w:tc>
      </w:tr>
      <w:tr w:rsidR="00392712" w:rsidRPr="005D10C1" w14:paraId="1ACBDC03" w14:textId="77777777" w:rsidTr="000B06E5">
        <w:trPr>
          <w:trHeight w:val="300"/>
          <w:jc w:val="center"/>
        </w:trPr>
        <w:tc>
          <w:tcPr>
            <w:tcW w:w="1061" w:type="pct"/>
            <w:vMerge w:val="restart"/>
            <w:tcBorders>
              <w:top w:val="nil"/>
              <w:left w:val="single" w:sz="4" w:space="0" w:color="auto"/>
              <w:bottom w:val="single" w:sz="4" w:space="0" w:color="auto"/>
              <w:right w:val="single" w:sz="4" w:space="0" w:color="auto"/>
            </w:tcBorders>
            <w:shd w:val="clear" w:color="auto" w:fill="auto"/>
            <w:vAlign w:val="center"/>
            <w:hideMark/>
          </w:tcPr>
          <w:p w14:paraId="113ABD7B" w14:textId="77777777" w:rsidR="00392712" w:rsidRPr="005D10C1" w:rsidRDefault="00392712" w:rsidP="000B06E5">
            <w:pPr>
              <w:spacing w:line="240" w:lineRule="auto"/>
              <w:jc w:val="left"/>
              <w:rPr>
                <w:rFonts w:ascii="Candara" w:eastAsia="Times New Roman" w:hAnsi="Candara" w:cs="Arial"/>
                <w:lang w:eastAsia="es-CO"/>
              </w:rPr>
            </w:pPr>
            <w:r w:rsidRPr="005D10C1">
              <w:rPr>
                <w:rFonts w:ascii="Candara" w:eastAsia="Times New Roman" w:hAnsi="Candara" w:cs="Arial"/>
                <w:lang w:eastAsia="es-CO"/>
              </w:rPr>
              <w:t>Causa de Origen</w:t>
            </w:r>
          </w:p>
        </w:tc>
        <w:tc>
          <w:tcPr>
            <w:tcW w:w="1583" w:type="pct"/>
            <w:tcBorders>
              <w:top w:val="nil"/>
              <w:left w:val="nil"/>
              <w:bottom w:val="single" w:sz="4" w:space="0" w:color="auto"/>
              <w:right w:val="single" w:sz="4" w:space="0" w:color="auto"/>
            </w:tcBorders>
            <w:shd w:val="clear" w:color="auto" w:fill="auto"/>
            <w:vAlign w:val="center"/>
            <w:hideMark/>
          </w:tcPr>
          <w:p w14:paraId="1583D6DA" w14:textId="77777777" w:rsidR="00392712" w:rsidRPr="005D10C1" w:rsidRDefault="00392712" w:rsidP="000B06E5">
            <w:pPr>
              <w:spacing w:line="240" w:lineRule="auto"/>
              <w:jc w:val="left"/>
              <w:rPr>
                <w:rFonts w:ascii="Candara" w:eastAsia="Times New Roman" w:hAnsi="Candara" w:cs="Arial"/>
                <w:lang w:eastAsia="es-CO"/>
              </w:rPr>
            </w:pPr>
            <w:r w:rsidRPr="005D10C1">
              <w:rPr>
                <w:rFonts w:ascii="Candara" w:eastAsia="Times New Roman" w:hAnsi="Candara" w:cs="Arial"/>
                <w:lang w:eastAsia="es-CO"/>
              </w:rPr>
              <w:t>Basada en investigación</w:t>
            </w:r>
          </w:p>
        </w:tc>
        <w:tc>
          <w:tcPr>
            <w:tcW w:w="2356" w:type="pct"/>
            <w:tcBorders>
              <w:top w:val="nil"/>
              <w:left w:val="nil"/>
              <w:bottom w:val="single" w:sz="4" w:space="0" w:color="auto"/>
              <w:right w:val="single" w:sz="4" w:space="0" w:color="auto"/>
            </w:tcBorders>
            <w:shd w:val="clear" w:color="auto" w:fill="auto"/>
            <w:vAlign w:val="center"/>
            <w:hideMark/>
          </w:tcPr>
          <w:p w14:paraId="7DD62163" w14:textId="77777777" w:rsidR="00392712" w:rsidRPr="005D10C1" w:rsidRDefault="00392712" w:rsidP="000B06E5">
            <w:pPr>
              <w:spacing w:line="240" w:lineRule="auto"/>
              <w:jc w:val="left"/>
              <w:rPr>
                <w:rFonts w:ascii="Candara" w:eastAsia="Times New Roman" w:hAnsi="Candara" w:cs="Arial"/>
                <w:lang w:eastAsia="es-CO"/>
              </w:rPr>
            </w:pPr>
            <w:r w:rsidRPr="005D10C1">
              <w:rPr>
                <w:rFonts w:ascii="Candara" w:eastAsia="Times New Roman" w:hAnsi="Candara" w:cs="Arial"/>
                <w:lang w:eastAsia="es-CO"/>
              </w:rPr>
              <w:t>No es específico</w:t>
            </w:r>
          </w:p>
        </w:tc>
      </w:tr>
      <w:tr w:rsidR="00392712" w:rsidRPr="005D10C1" w14:paraId="1701978D" w14:textId="77777777" w:rsidTr="000B06E5">
        <w:trPr>
          <w:trHeight w:val="300"/>
          <w:jc w:val="center"/>
        </w:trPr>
        <w:tc>
          <w:tcPr>
            <w:tcW w:w="1061" w:type="pct"/>
            <w:vMerge/>
            <w:tcBorders>
              <w:top w:val="nil"/>
              <w:left w:val="single" w:sz="4" w:space="0" w:color="auto"/>
              <w:bottom w:val="single" w:sz="4" w:space="0" w:color="auto"/>
              <w:right w:val="single" w:sz="4" w:space="0" w:color="auto"/>
            </w:tcBorders>
            <w:vAlign w:val="center"/>
            <w:hideMark/>
          </w:tcPr>
          <w:p w14:paraId="19C41B1C" w14:textId="77777777" w:rsidR="00392712" w:rsidRPr="005D10C1" w:rsidRDefault="00392712" w:rsidP="000B06E5">
            <w:pPr>
              <w:spacing w:line="240" w:lineRule="auto"/>
              <w:jc w:val="left"/>
              <w:rPr>
                <w:rFonts w:ascii="Candara" w:eastAsia="Times New Roman" w:hAnsi="Candara" w:cs="Arial"/>
                <w:lang w:eastAsia="es-CO"/>
              </w:rPr>
            </w:pPr>
          </w:p>
        </w:tc>
        <w:tc>
          <w:tcPr>
            <w:tcW w:w="1583" w:type="pct"/>
            <w:tcBorders>
              <w:top w:val="nil"/>
              <w:left w:val="nil"/>
              <w:bottom w:val="single" w:sz="4" w:space="0" w:color="auto"/>
              <w:right w:val="single" w:sz="4" w:space="0" w:color="auto"/>
            </w:tcBorders>
            <w:shd w:val="clear" w:color="auto" w:fill="auto"/>
            <w:vAlign w:val="center"/>
            <w:hideMark/>
          </w:tcPr>
          <w:p w14:paraId="1350C79C" w14:textId="77777777" w:rsidR="00392712" w:rsidRPr="005D10C1" w:rsidRDefault="00392712" w:rsidP="000B06E5">
            <w:pPr>
              <w:spacing w:line="240" w:lineRule="auto"/>
              <w:jc w:val="left"/>
              <w:rPr>
                <w:rFonts w:ascii="Candara" w:eastAsia="Times New Roman" w:hAnsi="Candara" w:cs="Arial"/>
                <w:lang w:eastAsia="es-CO"/>
              </w:rPr>
            </w:pPr>
            <w:r w:rsidRPr="005D10C1">
              <w:rPr>
                <w:rFonts w:ascii="Candara" w:eastAsia="Times New Roman" w:hAnsi="Candara" w:cs="Arial"/>
                <w:lang w:eastAsia="es-CO"/>
              </w:rPr>
              <w:t>Outsourcing</w:t>
            </w:r>
            <w:r w:rsidRPr="005D10C1">
              <w:rPr>
                <w:rFonts w:ascii="Candara" w:eastAsia="Times New Roman" w:hAnsi="Candara" w:cs="Arial"/>
                <w:b/>
                <w:lang w:eastAsia="es-CO"/>
              </w:rPr>
              <w:t>*</w:t>
            </w:r>
          </w:p>
        </w:tc>
        <w:tc>
          <w:tcPr>
            <w:tcW w:w="2356" w:type="pct"/>
            <w:tcBorders>
              <w:top w:val="nil"/>
              <w:left w:val="nil"/>
              <w:bottom w:val="single" w:sz="4" w:space="0" w:color="auto"/>
              <w:right w:val="single" w:sz="4" w:space="0" w:color="auto"/>
            </w:tcBorders>
            <w:shd w:val="clear" w:color="auto" w:fill="auto"/>
            <w:vAlign w:val="center"/>
            <w:hideMark/>
          </w:tcPr>
          <w:p w14:paraId="1D065542" w14:textId="77777777" w:rsidR="00392712" w:rsidRPr="005D10C1" w:rsidRDefault="00392712" w:rsidP="000B06E5">
            <w:pPr>
              <w:spacing w:line="240" w:lineRule="auto"/>
              <w:jc w:val="left"/>
              <w:rPr>
                <w:rFonts w:ascii="Candara" w:eastAsia="Times New Roman" w:hAnsi="Candara" w:cs="Arial"/>
                <w:lang w:eastAsia="es-CO"/>
              </w:rPr>
            </w:pPr>
            <w:r w:rsidRPr="005D10C1">
              <w:rPr>
                <w:rFonts w:ascii="Candara" w:eastAsia="Times New Roman" w:hAnsi="Candara" w:cs="Arial"/>
                <w:lang w:eastAsia="es-CO"/>
              </w:rPr>
              <w:t>Si</w:t>
            </w:r>
          </w:p>
        </w:tc>
      </w:tr>
      <w:tr w:rsidR="00382BC6" w:rsidRPr="005D10C1" w14:paraId="673B7388" w14:textId="77777777" w:rsidTr="000B06E5">
        <w:trPr>
          <w:trHeight w:val="300"/>
          <w:jc w:val="center"/>
        </w:trPr>
        <w:tc>
          <w:tcPr>
            <w:tcW w:w="1061" w:type="pct"/>
            <w:tcBorders>
              <w:top w:val="nil"/>
              <w:left w:val="single" w:sz="4" w:space="0" w:color="auto"/>
              <w:bottom w:val="single" w:sz="4" w:space="0" w:color="auto"/>
              <w:right w:val="single" w:sz="4" w:space="0" w:color="auto"/>
            </w:tcBorders>
            <w:vAlign w:val="center"/>
            <w:hideMark/>
          </w:tcPr>
          <w:p w14:paraId="331FB625" w14:textId="77777777" w:rsidR="00382BC6" w:rsidRPr="005D10C1" w:rsidRDefault="00382BC6" w:rsidP="000B06E5">
            <w:pPr>
              <w:spacing w:line="240" w:lineRule="auto"/>
              <w:jc w:val="left"/>
              <w:rPr>
                <w:rFonts w:ascii="Candara" w:eastAsia="Times New Roman" w:hAnsi="Candara" w:cs="Arial"/>
                <w:lang w:eastAsia="es-CO"/>
              </w:rPr>
            </w:pPr>
            <w:r w:rsidRPr="005D10C1">
              <w:rPr>
                <w:rFonts w:ascii="Candara" w:eastAsia="Times New Roman" w:hAnsi="Candara" w:cs="Arial"/>
                <w:lang w:eastAsia="es-CO"/>
              </w:rPr>
              <w:t>Participación en su desarrollo por la madre (Outsourcing)</w:t>
            </w:r>
          </w:p>
        </w:tc>
        <w:tc>
          <w:tcPr>
            <w:tcW w:w="1583" w:type="pct"/>
            <w:tcBorders>
              <w:top w:val="nil"/>
              <w:left w:val="nil"/>
              <w:bottom w:val="single" w:sz="4" w:space="0" w:color="auto"/>
              <w:right w:val="single" w:sz="4" w:space="0" w:color="auto"/>
            </w:tcBorders>
            <w:shd w:val="clear" w:color="auto" w:fill="auto"/>
            <w:vAlign w:val="center"/>
            <w:hideMark/>
          </w:tcPr>
          <w:p w14:paraId="629B6C93" w14:textId="77777777" w:rsidR="00382BC6" w:rsidRPr="005D10C1" w:rsidRDefault="00382BC6" w:rsidP="000B06E5">
            <w:pPr>
              <w:spacing w:line="240" w:lineRule="auto"/>
              <w:jc w:val="left"/>
              <w:rPr>
                <w:rFonts w:ascii="Candara" w:eastAsia="Times New Roman" w:hAnsi="Candara" w:cs="Arial"/>
                <w:lang w:eastAsia="es-CO"/>
              </w:rPr>
            </w:pPr>
            <w:r w:rsidRPr="005D10C1">
              <w:rPr>
                <w:rFonts w:ascii="Candara" w:eastAsia="Times New Roman" w:hAnsi="Candara" w:cs="Arial"/>
                <w:lang w:eastAsia="es-CO"/>
              </w:rPr>
              <w:t>Sponsored</w:t>
            </w:r>
            <w:r w:rsidR="00485C9C" w:rsidRPr="005D10C1">
              <w:rPr>
                <w:rFonts w:ascii="Candara" w:eastAsia="Times New Roman" w:hAnsi="Candara" w:cs="Arial"/>
                <w:lang w:eastAsia="es-CO"/>
              </w:rPr>
              <w:t xml:space="preserve"> </w:t>
            </w:r>
            <w:r w:rsidRPr="005D10C1">
              <w:rPr>
                <w:rFonts w:ascii="Candara" w:eastAsia="Times New Roman" w:hAnsi="Candara" w:cs="Arial"/>
                <w:i/>
                <w:lang w:eastAsia="es-CO"/>
              </w:rPr>
              <w:t>spin-off</w:t>
            </w:r>
            <w:r w:rsidRPr="005D10C1">
              <w:rPr>
                <w:rFonts w:ascii="Candara" w:eastAsia="Times New Roman" w:hAnsi="Candara" w:cs="Arial"/>
                <w:b/>
                <w:lang w:eastAsia="es-CO"/>
              </w:rPr>
              <w:t>*</w:t>
            </w:r>
          </w:p>
        </w:tc>
        <w:tc>
          <w:tcPr>
            <w:tcW w:w="2356" w:type="pct"/>
            <w:tcBorders>
              <w:top w:val="nil"/>
              <w:left w:val="nil"/>
              <w:bottom w:val="single" w:sz="4" w:space="0" w:color="auto"/>
              <w:right w:val="single" w:sz="4" w:space="0" w:color="auto"/>
            </w:tcBorders>
            <w:shd w:val="clear" w:color="auto" w:fill="auto"/>
            <w:vAlign w:val="center"/>
            <w:hideMark/>
          </w:tcPr>
          <w:p w14:paraId="7FA13A03" w14:textId="77777777" w:rsidR="00382BC6" w:rsidRPr="005D10C1" w:rsidRDefault="00382BC6" w:rsidP="000B06E5">
            <w:pPr>
              <w:spacing w:line="240" w:lineRule="auto"/>
              <w:jc w:val="left"/>
              <w:rPr>
                <w:rFonts w:ascii="Candara" w:eastAsia="Times New Roman" w:hAnsi="Candara" w:cs="Arial"/>
                <w:lang w:eastAsia="es-CO"/>
              </w:rPr>
            </w:pPr>
            <w:r w:rsidRPr="005D10C1">
              <w:rPr>
                <w:rFonts w:ascii="Candara" w:eastAsia="Times New Roman" w:hAnsi="Candara" w:cs="Arial"/>
                <w:lang w:eastAsia="es-CO"/>
              </w:rPr>
              <w:t>Importante participación</w:t>
            </w:r>
          </w:p>
        </w:tc>
      </w:tr>
      <w:tr w:rsidR="00392712" w:rsidRPr="005D10C1" w14:paraId="2C760122" w14:textId="77777777" w:rsidTr="000B06E5">
        <w:trPr>
          <w:trHeight w:val="300"/>
          <w:jc w:val="center"/>
        </w:trPr>
        <w:tc>
          <w:tcPr>
            <w:tcW w:w="1061" w:type="pct"/>
            <w:tcBorders>
              <w:top w:val="nil"/>
              <w:left w:val="single" w:sz="4" w:space="0" w:color="auto"/>
              <w:bottom w:val="single" w:sz="4" w:space="0" w:color="auto"/>
              <w:right w:val="single" w:sz="4" w:space="0" w:color="auto"/>
            </w:tcBorders>
            <w:shd w:val="clear" w:color="auto" w:fill="auto"/>
            <w:vAlign w:val="center"/>
            <w:hideMark/>
          </w:tcPr>
          <w:p w14:paraId="6ECC1EB7" w14:textId="77777777" w:rsidR="00392712" w:rsidRPr="005D10C1" w:rsidRDefault="00392712" w:rsidP="000B06E5">
            <w:pPr>
              <w:spacing w:line="240" w:lineRule="auto"/>
              <w:jc w:val="left"/>
              <w:rPr>
                <w:rFonts w:ascii="Candara" w:eastAsia="Times New Roman" w:hAnsi="Candara" w:cs="Arial"/>
                <w:lang w:eastAsia="es-CO"/>
              </w:rPr>
            </w:pPr>
            <w:r w:rsidRPr="005D10C1">
              <w:rPr>
                <w:rFonts w:ascii="Candara" w:eastAsia="Times New Roman" w:hAnsi="Candara" w:cs="Arial"/>
                <w:lang w:eastAsia="es-CO"/>
              </w:rPr>
              <w:lastRenderedPageBreak/>
              <w:t>Status</w:t>
            </w:r>
          </w:p>
        </w:tc>
        <w:tc>
          <w:tcPr>
            <w:tcW w:w="1583" w:type="pct"/>
            <w:tcBorders>
              <w:top w:val="nil"/>
              <w:left w:val="nil"/>
              <w:bottom w:val="single" w:sz="4" w:space="0" w:color="auto"/>
              <w:right w:val="single" w:sz="4" w:space="0" w:color="auto"/>
            </w:tcBorders>
            <w:shd w:val="clear" w:color="auto" w:fill="auto"/>
            <w:vAlign w:val="center"/>
            <w:hideMark/>
          </w:tcPr>
          <w:p w14:paraId="27C34B6B" w14:textId="77777777" w:rsidR="00392712" w:rsidRPr="005D10C1" w:rsidRDefault="00392712" w:rsidP="000B06E5">
            <w:pPr>
              <w:spacing w:line="240" w:lineRule="auto"/>
              <w:jc w:val="left"/>
              <w:rPr>
                <w:rFonts w:ascii="Candara" w:eastAsia="Times New Roman" w:hAnsi="Candara" w:cs="Arial"/>
                <w:b/>
                <w:lang w:eastAsia="es-CO"/>
              </w:rPr>
            </w:pPr>
            <w:r w:rsidRPr="005D10C1">
              <w:rPr>
                <w:rFonts w:ascii="Candara" w:eastAsia="Times New Roman" w:hAnsi="Candara" w:cs="Arial"/>
                <w:lang w:eastAsia="es-CO"/>
              </w:rPr>
              <w:t>Académicas</w:t>
            </w:r>
            <w:r w:rsidRPr="005D10C1">
              <w:rPr>
                <w:rFonts w:ascii="Candara" w:eastAsia="Times New Roman" w:hAnsi="Candara" w:cs="Arial"/>
                <w:b/>
                <w:lang w:eastAsia="es-CO"/>
              </w:rPr>
              <w:t>*</w:t>
            </w:r>
          </w:p>
          <w:p w14:paraId="0A3101F2" w14:textId="77777777" w:rsidR="00485C9C" w:rsidRPr="005D10C1" w:rsidRDefault="00485C9C" w:rsidP="000B06E5">
            <w:pPr>
              <w:spacing w:line="240" w:lineRule="auto"/>
              <w:jc w:val="left"/>
              <w:rPr>
                <w:rFonts w:ascii="Candara" w:eastAsia="Times New Roman" w:hAnsi="Candara" w:cs="Arial"/>
                <w:lang w:eastAsia="es-CO"/>
              </w:rPr>
            </w:pPr>
            <w:r w:rsidRPr="005D10C1">
              <w:rPr>
                <w:rFonts w:ascii="Candara" w:eastAsia="Times New Roman" w:hAnsi="Candara" w:cs="Arial"/>
                <w:lang w:eastAsia="es-CO"/>
              </w:rPr>
              <w:t>Estudiantiles</w:t>
            </w:r>
          </w:p>
        </w:tc>
        <w:tc>
          <w:tcPr>
            <w:tcW w:w="2356" w:type="pct"/>
            <w:tcBorders>
              <w:top w:val="nil"/>
              <w:left w:val="nil"/>
              <w:bottom w:val="single" w:sz="4" w:space="0" w:color="auto"/>
              <w:right w:val="single" w:sz="4" w:space="0" w:color="auto"/>
            </w:tcBorders>
            <w:shd w:val="clear" w:color="auto" w:fill="auto"/>
            <w:vAlign w:val="center"/>
            <w:hideMark/>
          </w:tcPr>
          <w:p w14:paraId="15244BA0" w14:textId="77777777" w:rsidR="00392712" w:rsidRPr="005D10C1" w:rsidRDefault="00392712" w:rsidP="000B06E5">
            <w:pPr>
              <w:spacing w:line="240" w:lineRule="auto"/>
              <w:jc w:val="left"/>
              <w:rPr>
                <w:rFonts w:ascii="Candara" w:eastAsia="Times New Roman" w:hAnsi="Candara" w:cs="Arial"/>
                <w:lang w:eastAsia="es-CO"/>
              </w:rPr>
            </w:pPr>
            <w:r w:rsidRPr="005D10C1">
              <w:rPr>
                <w:rFonts w:ascii="Candara" w:eastAsia="Times New Roman" w:hAnsi="Candara" w:cs="Arial"/>
                <w:lang w:eastAsia="es-CO"/>
              </w:rPr>
              <w:t>Puede existir participación</w:t>
            </w:r>
          </w:p>
        </w:tc>
      </w:tr>
      <w:tr w:rsidR="00392712" w:rsidRPr="005D10C1" w14:paraId="4732F187" w14:textId="77777777" w:rsidTr="000B06E5">
        <w:trPr>
          <w:trHeight w:val="300"/>
          <w:jc w:val="center"/>
        </w:trPr>
        <w:tc>
          <w:tcPr>
            <w:tcW w:w="1061" w:type="pct"/>
            <w:vMerge w:val="restart"/>
            <w:tcBorders>
              <w:top w:val="nil"/>
              <w:left w:val="single" w:sz="4" w:space="0" w:color="auto"/>
              <w:bottom w:val="single" w:sz="4" w:space="0" w:color="auto"/>
              <w:right w:val="single" w:sz="4" w:space="0" w:color="auto"/>
            </w:tcBorders>
            <w:shd w:val="clear" w:color="auto" w:fill="auto"/>
            <w:vAlign w:val="center"/>
            <w:hideMark/>
          </w:tcPr>
          <w:p w14:paraId="46163E2F" w14:textId="77777777" w:rsidR="00392712" w:rsidRPr="005D10C1" w:rsidRDefault="00392712" w:rsidP="000B06E5">
            <w:pPr>
              <w:spacing w:line="240" w:lineRule="auto"/>
              <w:jc w:val="left"/>
              <w:rPr>
                <w:rFonts w:ascii="Candara" w:eastAsia="Times New Roman" w:hAnsi="Candara" w:cs="Arial"/>
                <w:lang w:eastAsia="es-CO"/>
              </w:rPr>
            </w:pPr>
            <w:r w:rsidRPr="005D10C1">
              <w:rPr>
                <w:rFonts w:ascii="Candara" w:eastAsia="Times New Roman" w:hAnsi="Candara" w:cs="Arial"/>
                <w:lang w:eastAsia="es-CO"/>
              </w:rPr>
              <w:t>El investigador se convierte en emprendedor</w:t>
            </w:r>
          </w:p>
        </w:tc>
        <w:tc>
          <w:tcPr>
            <w:tcW w:w="1583" w:type="pct"/>
            <w:tcBorders>
              <w:top w:val="nil"/>
              <w:left w:val="nil"/>
              <w:bottom w:val="single" w:sz="4" w:space="0" w:color="auto"/>
              <w:right w:val="single" w:sz="4" w:space="0" w:color="auto"/>
            </w:tcBorders>
            <w:shd w:val="clear" w:color="auto" w:fill="auto"/>
            <w:vAlign w:val="center"/>
            <w:hideMark/>
          </w:tcPr>
          <w:p w14:paraId="5E5C59D4" w14:textId="77777777" w:rsidR="00392712" w:rsidRPr="005D10C1" w:rsidRDefault="00392712" w:rsidP="000B06E5">
            <w:pPr>
              <w:spacing w:line="240" w:lineRule="auto"/>
              <w:jc w:val="left"/>
              <w:rPr>
                <w:rFonts w:ascii="Candara" w:eastAsia="Times New Roman" w:hAnsi="Candara" w:cs="Arial"/>
                <w:lang w:eastAsia="es-CO"/>
              </w:rPr>
            </w:pPr>
            <w:r w:rsidRPr="005D10C1">
              <w:rPr>
                <w:rFonts w:ascii="Candara" w:eastAsia="Times New Roman" w:hAnsi="Candara" w:cs="Arial"/>
                <w:lang w:eastAsia="es-CO"/>
              </w:rPr>
              <w:t>Intrapreneurial</w:t>
            </w:r>
            <w:r w:rsidR="00485C9C" w:rsidRPr="005D10C1">
              <w:rPr>
                <w:rFonts w:ascii="Candara" w:eastAsia="Times New Roman" w:hAnsi="Candara" w:cs="Arial"/>
                <w:lang w:eastAsia="es-CO"/>
              </w:rPr>
              <w:t xml:space="preserve"> </w:t>
            </w:r>
            <w:r w:rsidRPr="005D10C1">
              <w:rPr>
                <w:rFonts w:ascii="Candara" w:eastAsia="Times New Roman" w:hAnsi="Candara" w:cs="Arial"/>
                <w:i/>
                <w:lang w:eastAsia="es-CO"/>
              </w:rPr>
              <w:t>spin-offs</w:t>
            </w:r>
          </w:p>
        </w:tc>
        <w:tc>
          <w:tcPr>
            <w:tcW w:w="2356" w:type="pct"/>
            <w:tcBorders>
              <w:top w:val="nil"/>
              <w:left w:val="nil"/>
              <w:bottom w:val="single" w:sz="4" w:space="0" w:color="auto"/>
              <w:right w:val="single" w:sz="4" w:space="0" w:color="auto"/>
            </w:tcBorders>
            <w:shd w:val="clear" w:color="auto" w:fill="auto"/>
            <w:vAlign w:val="center"/>
            <w:hideMark/>
          </w:tcPr>
          <w:p w14:paraId="17EF022B" w14:textId="77777777" w:rsidR="00392712" w:rsidRPr="005D10C1" w:rsidRDefault="00392712" w:rsidP="000B06E5">
            <w:pPr>
              <w:spacing w:line="240" w:lineRule="auto"/>
              <w:jc w:val="left"/>
              <w:rPr>
                <w:rFonts w:ascii="Candara" w:eastAsia="Times New Roman" w:hAnsi="Candara" w:cs="Arial"/>
                <w:lang w:eastAsia="es-CO"/>
              </w:rPr>
            </w:pPr>
            <w:r w:rsidRPr="005D10C1">
              <w:rPr>
                <w:rFonts w:ascii="Candara" w:eastAsia="Times New Roman" w:hAnsi="Candara" w:cs="Arial"/>
                <w:lang w:eastAsia="es-CO"/>
              </w:rPr>
              <w:t>No es explícito (Aunque es probable)</w:t>
            </w:r>
          </w:p>
        </w:tc>
      </w:tr>
      <w:tr w:rsidR="00392712" w:rsidRPr="005D10C1" w14:paraId="5ECE75E1" w14:textId="77777777" w:rsidTr="000B06E5">
        <w:trPr>
          <w:trHeight w:val="300"/>
          <w:jc w:val="center"/>
        </w:trPr>
        <w:tc>
          <w:tcPr>
            <w:tcW w:w="1061" w:type="pct"/>
            <w:vMerge/>
            <w:tcBorders>
              <w:top w:val="nil"/>
              <w:left w:val="single" w:sz="4" w:space="0" w:color="auto"/>
              <w:bottom w:val="single" w:sz="4" w:space="0" w:color="auto"/>
              <w:right w:val="single" w:sz="4" w:space="0" w:color="auto"/>
            </w:tcBorders>
            <w:vAlign w:val="center"/>
            <w:hideMark/>
          </w:tcPr>
          <w:p w14:paraId="0868B3F2" w14:textId="77777777" w:rsidR="00392712" w:rsidRPr="005D10C1" w:rsidRDefault="00392712" w:rsidP="000B06E5">
            <w:pPr>
              <w:spacing w:line="240" w:lineRule="auto"/>
              <w:jc w:val="left"/>
              <w:rPr>
                <w:rFonts w:ascii="Candara" w:eastAsia="Times New Roman" w:hAnsi="Candara" w:cs="Arial"/>
                <w:lang w:eastAsia="es-CO"/>
              </w:rPr>
            </w:pPr>
          </w:p>
        </w:tc>
        <w:tc>
          <w:tcPr>
            <w:tcW w:w="1583" w:type="pct"/>
            <w:tcBorders>
              <w:top w:val="nil"/>
              <w:left w:val="nil"/>
              <w:bottom w:val="single" w:sz="4" w:space="0" w:color="auto"/>
              <w:right w:val="single" w:sz="4" w:space="0" w:color="auto"/>
            </w:tcBorders>
            <w:shd w:val="clear" w:color="auto" w:fill="auto"/>
            <w:vAlign w:val="center"/>
            <w:hideMark/>
          </w:tcPr>
          <w:p w14:paraId="33CBED9B" w14:textId="77777777" w:rsidR="00392712" w:rsidRPr="005D10C1" w:rsidRDefault="00392712" w:rsidP="000B06E5">
            <w:pPr>
              <w:spacing w:line="240" w:lineRule="auto"/>
              <w:jc w:val="left"/>
              <w:rPr>
                <w:rFonts w:ascii="Candara" w:eastAsia="Times New Roman" w:hAnsi="Candara" w:cs="Arial"/>
                <w:lang w:eastAsia="es-CO"/>
              </w:rPr>
            </w:pPr>
            <w:r w:rsidRPr="005D10C1">
              <w:rPr>
                <w:rFonts w:ascii="Candara" w:eastAsia="Times New Roman" w:hAnsi="Candara" w:cs="Arial"/>
                <w:lang w:eastAsia="es-CO"/>
              </w:rPr>
              <w:t>Extrapreneurial</w:t>
            </w:r>
            <w:r w:rsidR="00485C9C" w:rsidRPr="005D10C1">
              <w:rPr>
                <w:rFonts w:ascii="Candara" w:eastAsia="Times New Roman" w:hAnsi="Candara" w:cs="Arial"/>
                <w:lang w:eastAsia="es-CO"/>
              </w:rPr>
              <w:t xml:space="preserve"> </w:t>
            </w:r>
            <w:r w:rsidRPr="005D10C1">
              <w:rPr>
                <w:rFonts w:ascii="Candara" w:eastAsia="Times New Roman" w:hAnsi="Candara" w:cs="Arial"/>
                <w:i/>
                <w:lang w:eastAsia="es-CO"/>
              </w:rPr>
              <w:t>spin-offs</w:t>
            </w:r>
          </w:p>
        </w:tc>
        <w:tc>
          <w:tcPr>
            <w:tcW w:w="2356" w:type="pct"/>
            <w:tcBorders>
              <w:top w:val="nil"/>
              <w:left w:val="nil"/>
              <w:bottom w:val="single" w:sz="4" w:space="0" w:color="auto"/>
              <w:right w:val="single" w:sz="4" w:space="0" w:color="auto"/>
            </w:tcBorders>
            <w:shd w:val="clear" w:color="auto" w:fill="auto"/>
            <w:vAlign w:val="center"/>
            <w:hideMark/>
          </w:tcPr>
          <w:p w14:paraId="316730F8" w14:textId="77777777" w:rsidR="00392712" w:rsidRPr="005D10C1" w:rsidRDefault="00392712" w:rsidP="000B06E5">
            <w:pPr>
              <w:spacing w:line="240" w:lineRule="auto"/>
              <w:jc w:val="left"/>
              <w:rPr>
                <w:rFonts w:ascii="Candara" w:eastAsia="Times New Roman" w:hAnsi="Candara" w:cs="Arial"/>
                <w:lang w:eastAsia="es-CO"/>
              </w:rPr>
            </w:pPr>
            <w:r w:rsidRPr="005D10C1">
              <w:rPr>
                <w:rFonts w:ascii="Candara" w:eastAsia="Times New Roman" w:hAnsi="Candara" w:cs="Arial"/>
                <w:lang w:eastAsia="es-CO"/>
              </w:rPr>
              <w:t>No</w:t>
            </w:r>
            <w:r w:rsidR="00C0200B" w:rsidRPr="005D10C1">
              <w:rPr>
                <w:rFonts w:ascii="Candara" w:eastAsia="Times New Roman" w:hAnsi="Candara" w:cs="Arial"/>
                <w:lang w:eastAsia="es-CO"/>
              </w:rPr>
              <w:t xml:space="preserve"> es explícito</w:t>
            </w:r>
          </w:p>
        </w:tc>
      </w:tr>
      <w:tr w:rsidR="00392712" w:rsidRPr="005D10C1" w14:paraId="213BFD6A" w14:textId="77777777" w:rsidTr="000B06E5">
        <w:trPr>
          <w:trHeight w:val="600"/>
          <w:jc w:val="center"/>
        </w:trPr>
        <w:tc>
          <w:tcPr>
            <w:tcW w:w="1061" w:type="pct"/>
            <w:vMerge w:val="restart"/>
            <w:tcBorders>
              <w:top w:val="nil"/>
              <w:left w:val="single" w:sz="4" w:space="0" w:color="auto"/>
              <w:bottom w:val="single" w:sz="4" w:space="0" w:color="000000"/>
              <w:right w:val="single" w:sz="4" w:space="0" w:color="auto"/>
            </w:tcBorders>
            <w:shd w:val="clear" w:color="auto" w:fill="auto"/>
            <w:vAlign w:val="center"/>
            <w:hideMark/>
          </w:tcPr>
          <w:p w14:paraId="318D2623" w14:textId="77777777" w:rsidR="00392712" w:rsidRPr="005D10C1" w:rsidRDefault="00392712" w:rsidP="000B06E5">
            <w:pPr>
              <w:spacing w:line="240" w:lineRule="auto"/>
              <w:jc w:val="left"/>
              <w:rPr>
                <w:rFonts w:ascii="Candara" w:eastAsia="Times New Roman" w:hAnsi="Candara" w:cs="Arial"/>
                <w:lang w:eastAsia="es-CO"/>
              </w:rPr>
            </w:pPr>
            <w:r w:rsidRPr="005D10C1">
              <w:rPr>
                <w:rFonts w:ascii="Candara" w:eastAsia="Times New Roman" w:hAnsi="Candara" w:cs="Arial"/>
                <w:lang w:eastAsia="es-CO"/>
              </w:rPr>
              <w:t>Papel del precursor y del emprendedor</w:t>
            </w:r>
          </w:p>
        </w:tc>
        <w:tc>
          <w:tcPr>
            <w:tcW w:w="1583" w:type="pct"/>
            <w:tcBorders>
              <w:top w:val="nil"/>
              <w:left w:val="nil"/>
              <w:bottom w:val="single" w:sz="4" w:space="0" w:color="auto"/>
              <w:right w:val="single" w:sz="4" w:space="0" w:color="auto"/>
            </w:tcBorders>
            <w:shd w:val="clear" w:color="auto" w:fill="auto"/>
            <w:vAlign w:val="center"/>
            <w:hideMark/>
          </w:tcPr>
          <w:p w14:paraId="0EFCC7B0" w14:textId="77777777" w:rsidR="00392712" w:rsidRPr="005D10C1" w:rsidRDefault="00392712" w:rsidP="000B06E5">
            <w:pPr>
              <w:spacing w:line="240" w:lineRule="auto"/>
              <w:jc w:val="left"/>
              <w:rPr>
                <w:rFonts w:ascii="Candara" w:eastAsia="Times New Roman" w:hAnsi="Candara" w:cs="Arial"/>
                <w:lang w:eastAsia="es-CO"/>
              </w:rPr>
            </w:pPr>
            <w:r w:rsidRPr="005D10C1">
              <w:rPr>
                <w:rFonts w:ascii="Candara" w:eastAsia="Times New Roman" w:hAnsi="Candara" w:cs="Arial"/>
                <w:i/>
                <w:lang w:eastAsia="es-CO"/>
              </w:rPr>
              <w:t>Spin-offs</w:t>
            </w:r>
            <w:r w:rsidRPr="005D10C1">
              <w:rPr>
                <w:rFonts w:ascii="Candara" w:eastAsia="Times New Roman" w:hAnsi="Candara" w:cs="Arial"/>
                <w:lang w:eastAsia="es-CO"/>
              </w:rPr>
              <w:t xml:space="preserve"> ortodoxas</w:t>
            </w:r>
          </w:p>
        </w:tc>
        <w:tc>
          <w:tcPr>
            <w:tcW w:w="2356" w:type="pct"/>
            <w:tcBorders>
              <w:top w:val="nil"/>
              <w:left w:val="nil"/>
              <w:bottom w:val="single" w:sz="4" w:space="0" w:color="auto"/>
              <w:right w:val="single" w:sz="4" w:space="0" w:color="auto"/>
            </w:tcBorders>
            <w:shd w:val="clear" w:color="auto" w:fill="auto"/>
            <w:vAlign w:val="center"/>
            <w:hideMark/>
          </w:tcPr>
          <w:p w14:paraId="12855C8B" w14:textId="77777777" w:rsidR="00392712" w:rsidRPr="005D10C1" w:rsidRDefault="00392712" w:rsidP="000B06E5">
            <w:pPr>
              <w:spacing w:line="240" w:lineRule="auto"/>
              <w:jc w:val="left"/>
              <w:rPr>
                <w:rFonts w:ascii="Candara" w:eastAsia="Times New Roman" w:hAnsi="Candara" w:cs="Arial"/>
                <w:lang w:eastAsia="es-CO"/>
              </w:rPr>
            </w:pPr>
            <w:r w:rsidRPr="005D10C1">
              <w:rPr>
                <w:rFonts w:ascii="Candara" w:eastAsia="Times New Roman" w:hAnsi="Candara" w:cs="Arial"/>
                <w:lang w:eastAsia="es-CO"/>
              </w:rPr>
              <w:t>No, pues los académicos se retiran de la universidad para la nueva empresa.</w:t>
            </w:r>
          </w:p>
        </w:tc>
      </w:tr>
      <w:tr w:rsidR="00392712" w:rsidRPr="005D10C1" w14:paraId="7839AC79" w14:textId="77777777" w:rsidTr="000B06E5">
        <w:trPr>
          <w:trHeight w:val="600"/>
          <w:jc w:val="center"/>
        </w:trPr>
        <w:tc>
          <w:tcPr>
            <w:tcW w:w="1061" w:type="pct"/>
            <w:vMerge/>
            <w:tcBorders>
              <w:top w:val="nil"/>
              <w:left w:val="single" w:sz="4" w:space="0" w:color="auto"/>
              <w:bottom w:val="single" w:sz="4" w:space="0" w:color="000000"/>
              <w:right w:val="single" w:sz="4" w:space="0" w:color="auto"/>
            </w:tcBorders>
            <w:vAlign w:val="center"/>
            <w:hideMark/>
          </w:tcPr>
          <w:p w14:paraId="157598D6" w14:textId="77777777" w:rsidR="00392712" w:rsidRPr="005D10C1" w:rsidRDefault="00392712" w:rsidP="000B06E5">
            <w:pPr>
              <w:spacing w:line="240" w:lineRule="auto"/>
              <w:jc w:val="left"/>
              <w:rPr>
                <w:rFonts w:ascii="Candara" w:eastAsia="Times New Roman" w:hAnsi="Candara" w:cs="Arial"/>
                <w:lang w:eastAsia="es-CO"/>
              </w:rPr>
            </w:pPr>
          </w:p>
        </w:tc>
        <w:tc>
          <w:tcPr>
            <w:tcW w:w="1583" w:type="pct"/>
            <w:tcBorders>
              <w:top w:val="nil"/>
              <w:left w:val="nil"/>
              <w:bottom w:val="single" w:sz="4" w:space="0" w:color="auto"/>
              <w:right w:val="single" w:sz="4" w:space="0" w:color="auto"/>
            </w:tcBorders>
            <w:shd w:val="clear" w:color="auto" w:fill="auto"/>
            <w:vAlign w:val="center"/>
            <w:hideMark/>
          </w:tcPr>
          <w:p w14:paraId="5B750E9A" w14:textId="77777777" w:rsidR="00392712" w:rsidRPr="005D10C1" w:rsidRDefault="00392712" w:rsidP="000B06E5">
            <w:pPr>
              <w:spacing w:line="240" w:lineRule="auto"/>
              <w:jc w:val="left"/>
              <w:rPr>
                <w:rFonts w:ascii="Candara" w:eastAsia="Times New Roman" w:hAnsi="Candara" w:cs="Arial"/>
                <w:lang w:eastAsia="es-CO"/>
              </w:rPr>
            </w:pPr>
            <w:r w:rsidRPr="005D10C1">
              <w:rPr>
                <w:rFonts w:ascii="Candara" w:eastAsia="Times New Roman" w:hAnsi="Candara" w:cs="Arial"/>
                <w:i/>
                <w:lang w:eastAsia="es-CO"/>
              </w:rPr>
              <w:t>Spin-offs</w:t>
            </w:r>
            <w:r w:rsidRPr="005D10C1">
              <w:rPr>
                <w:rFonts w:ascii="Candara" w:eastAsia="Times New Roman" w:hAnsi="Candara" w:cs="Arial"/>
                <w:lang w:eastAsia="es-CO"/>
              </w:rPr>
              <w:t xml:space="preserve"> híbridas</w:t>
            </w:r>
            <w:r w:rsidRPr="005D10C1">
              <w:rPr>
                <w:rFonts w:ascii="Candara" w:eastAsia="Times New Roman" w:hAnsi="Candara" w:cs="Arial"/>
                <w:b/>
                <w:lang w:eastAsia="es-CO"/>
              </w:rPr>
              <w:t>*</w:t>
            </w:r>
          </w:p>
        </w:tc>
        <w:tc>
          <w:tcPr>
            <w:tcW w:w="2356" w:type="pct"/>
            <w:tcBorders>
              <w:top w:val="nil"/>
              <w:left w:val="nil"/>
              <w:bottom w:val="single" w:sz="4" w:space="0" w:color="auto"/>
              <w:right w:val="single" w:sz="4" w:space="0" w:color="auto"/>
            </w:tcBorders>
            <w:shd w:val="clear" w:color="auto" w:fill="auto"/>
            <w:vAlign w:val="center"/>
            <w:hideMark/>
          </w:tcPr>
          <w:p w14:paraId="34BE0103" w14:textId="77777777" w:rsidR="00392712" w:rsidRPr="005D10C1" w:rsidRDefault="00392712" w:rsidP="000B06E5">
            <w:pPr>
              <w:spacing w:line="240" w:lineRule="auto"/>
              <w:jc w:val="left"/>
              <w:rPr>
                <w:rFonts w:ascii="Candara" w:eastAsia="Times New Roman" w:hAnsi="Candara" w:cs="Arial"/>
                <w:lang w:eastAsia="es-CO"/>
              </w:rPr>
            </w:pPr>
            <w:r w:rsidRPr="005D10C1">
              <w:rPr>
                <w:rFonts w:ascii="Candara" w:eastAsia="Times New Roman" w:hAnsi="Candara" w:cs="Arial"/>
                <w:lang w:eastAsia="es-CO"/>
              </w:rPr>
              <w:t>Si hay relación pues algunos investigadores se quedan en la Universidad y pueden participar</w:t>
            </w:r>
          </w:p>
        </w:tc>
      </w:tr>
      <w:tr w:rsidR="00392712" w:rsidRPr="005D10C1" w14:paraId="60E3668C" w14:textId="77777777" w:rsidTr="000B06E5">
        <w:trPr>
          <w:trHeight w:val="300"/>
          <w:jc w:val="center"/>
        </w:trPr>
        <w:tc>
          <w:tcPr>
            <w:tcW w:w="1061" w:type="pct"/>
            <w:vMerge/>
            <w:tcBorders>
              <w:top w:val="nil"/>
              <w:left w:val="single" w:sz="4" w:space="0" w:color="auto"/>
              <w:bottom w:val="single" w:sz="4" w:space="0" w:color="000000"/>
              <w:right w:val="single" w:sz="4" w:space="0" w:color="auto"/>
            </w:tcBorders>
            <w:vAlign w:val="center"/>
            <w:hideMark/>
          </w:tcPr>
          <w:p w14:paraId="579A9CBC" w14:textId="77777777" w:rsidR="00392712" w:rsidRPr="005D10C1" w:rsidRDefault="00392712" w:rsidP="000B06E5">
            <w:pPr>
              <w:spacing w:line="240" w:lineRule="auto"/>
              <w:jc w:val="left"/>
              <w:rPr>
                <w:rFonts w:ascii="Candara" w:eastAsia="Times New Roman" w:hAnsi="Candara" w:cs="Arial"/>
                <w:lang w:eastAsia="es-CO"/>
              </w:rPr>
            </w:pPr>
          </w:p>
        </w:tc>
        <w:tc>
          <w:tcPr>
            <w:tcW w:w="1583" w:type="pct"/>
            <w:tcBorders>
              <w:top w:val="nil"/>
              <w:left w:val="nil"/>
              <w:bottom w:val="single" w:sz="4" w:space="0" w:color="auto"/>
              <w:right w:val="single" w:sz="4" w:space="0" w:color="auto"/>
            </w:tcBorders>
            <w:shd w:val="clear" w:color="auto" w:fill="auto"/>
            <w:vAlign w:val="center"/>
            <w:hideMark/>
          </w:tcPr>
          <w:p w14:paraId="617BBF06" w14:textId="77777777" w:rsidR="00392712" w:rsidRPr="005D10C1" w:rsidRDefault="00392712" w:rsidP="000B06E5">
            <w:pPr>
              <w:spacing w:line="240" w:lineRule="auto"/>
              <w:jc w:val="left"/>
              <w:rPr>
                <w:rFonts w:ascii="Candara" w:eastAsia="Times New Roman" w:hAnsi="Candara" w:cs="Arial"/>
                <w:lang w:eastAsia="es-CO"/>
              </w:rPr>
            </w:pPr>
            <w:r w:rsidRPr="005D10C1">
              <w:rPr>
                <w:rFonts w:ascii="Candara" w:eastAsia="Times New Roman" w:hAnsi="Candara" w:cs="Arial"/>
                <w:i/>
                <w:lang w:eastAsia="es-CO"/>
              </w:rPr>
              <w:t>Spin-off</w:t>
            </w:r>
            <w:r w:rsidR="00373BC9" w:rsidRPr="005D10C1">
              <w:rPr>
                <w:rFonts w:ascii="Candara" w:eastAsia="Times New Roman" w:hAnsi="Candara" w:cs="Arial"/>
                <w:i/>
                <w:lang w:eastAsia="es-CO"/>
              </w:rPr>
              <w:t>s</w:t>
            </w:r>
            <w:r w:rsidRPr="005D10C1">
              <w:rPr>
                <w:rFonts w:ascii="Candara" w:eastAsia="Times New Roman" w:hAnsi="Candara" w:cs="Arial"/>
                <w:lang w:eastAsia="es-CO"/>
              </w:rPr>
              <w:t xml:space="preserve"> tecnológicas</w:t>
            </w:r>
          </w:p>
        </w:tc>
        <w:tc>
          <w:tcPr>
            <w:tcW w:w="2356" w:type="pct"/>
            <w:tcBorders>
              <w:top w:val="nil"/>
              <w:left w:val="nil"/>
              <w:bottom w:val="single" w:sz="4" w:space="0" w:color="auto"/>
              <w:right w:val="single" w:sz="4" w:space="0" w:color="auto"/>
            </w:tcBorders>
            <w:shd w:val="clear" w:color="auto" w:fill="auto"/>
            <w:vAlign w:val="center"/>
            <w:hideMark/>
          </w:tcPr>
          <w:p w14:paraId="635C2424" w14:textId="77777777" w:rsidR="00392712" w:rsidRPr="005D10C1" w:rsidRDefault="00392712" w:rsidP="000B06E5">
            <w:pPr>
              <w:spacing w:line="240" w:lineRule="auto"/>
              <w:jc w:val="left"/>
              <w:rPr>
                <w:rFonts w:ascii="Candara" w:eastAsia="Times New Roman" w:hAnsi="Candara" w:cs="Arial"/>
                <w:lang w:eastAsia="es-CO"/>
              </w:rPr>
            </w:pPr>
            <w:r w:rsidRPr="005D10C1">
              <w:rPr>
                <w:rFonts w:ascii="Candara" w:eastAsia="Times New Roman" w:hAnsi="Candara" w:cs="Arial"/>
                <w:lang w:eastAsia="es-CO"/>
              </w:rPr>
              <w:t>No</w:t>
            </w:r>
          </w:p>
        </w:tc>
      </w:tr>
      <w:tr w:rsidR="00392712" w:rsidRPr="005D10C1" w14:paraId="53C3F83B" w14:textId="77777777" w:rsidTr="000B06E5">
        <w:trPr>
          <w:trHeight w:val="300"/>
          <w:jc w:val="center"/>
        </w:trPr>
        <w:tc>
          <w:tcPr>
            <w:tcW w:w="1061" w:type="pct"/>
            <w:vMerge w:val="restart"/>
            <w:tcBorders>
              <w:top w:val="nil"/>
              <w:left w:val="single" w:sz="4" w:space="0" w:color="auto"/>
              <w:bottom w:val="single" w:sz="4" w:space="0" w:color="000000"/>
              <w:right w:val="single" w:sz="4" w:space="0" w:color="auto"/>
            </w:tcBorders>
            <w:shd w:val="clear" w:color="auto" w:fill="auto"/>
            <w:vAlign w:val="center"/>
            <w:hideMark/>
          </w:tcPr>
          <w:p w14:paraId="0EE1F12A" w14:textId="77777777" w:rsidR="00392712" w:rsidRPr="005D10C1" w:rsidRDefault="00392712" w:rsidP="000B06E5">
            <w:pPr>
              <w:spacing w:line="240" w:lineRule="auto"/>
              <w:jc w:val="left"/>
              <w:rPr>
                <w:rFonts w:ascii="Candara" w:eastAsia="Times New Roman" w:hAnsi="Candara" w:cs="Arial"/>
                <w:lang w:eastAsia="es-CO"/>
              </w:rPr>
            </w:pPr>
            <w:r w:rsidRPr="005D10C1">
              <w:rPr>
                <w:rFonts w:ascii="Candara" w:eastAsia="Times New Roman" w:hAnsi="Candara" w:cs="Arial"/>
                <w:lang w:eastAsia="es-CO"/>
              </w:rPr>
              <w:t>Si el conocimiento transferido ha sido licenciado</w:t>
            </w:r>
          </w:p>
        </w:tc>
        <w:tc>
          <w:tcPr>
            <w:tcW w:w="1583" w:type="pct"/>
            <w:tcBorders>
              <w:top w:val="nil"/>
              <w:left w:val="nil"/>
              <w:bottom w:val="single" w:sz="4" w:space="0" w:color="auto"/>
              <w:right w:val="single" w:sz="4" w:space="0" w:color="auto"/>
            </w:tcBorders>
            <w:shd w:val="clear" w:color="auto" w:fill="auto"/>
            <w:vAlign w:val="center"/>
            <w:hideMark/>
          </w:tcPr>
          <w:p w14:paraId="0CED85BE" w14:textId="77777777" w:rsidR="00392712" w:rsidRPr="005D10C1" w:rsidRDefault="00392712" w:rsidP="000B06E5">
            <w:pPr>
              <w:spacing w:line="240" w:lineRule="auto"/>
              <w:jc w:val="left"/>
              <w:rPr>
                <w:rFonts w:ascii="Candara" w:eastAsia="Times New Roman" w:hAnsi="Candara" w:cs="Arial"/>
                <w:lang w:eastAsia="es-CO"/>
              </w:rPr>
            </w:pPr>
            <w:r w:rsidRPr="005D10C1">
              <w:rPr>
                <w:rFonts w:ascii="Candara" w:eastAsia="Times New Roman" w:hAnsi="Candara" w:cs="Arial"/>
                <w:i/>
                <w:lang w:eastAsia="es-CO"/>
              </w:rPr>
              <w:t>Spin-offs</w:t>
            </w:r>
            <w:r w:rsidRPr="005D10C1">
              <w:rPr>
                <w:rFonts w:ascii="Candara" w:eastAsia="Times New Roman" w:hAnsi="Candara" w:cs="Arial"/>
                <w:lang w:eastAsia="es-CO"/>
              </w:rPr>
              <w:t xml:space="preserve"> basadas en tecnología patentada</w:t>
            </w:r>
            <w:r w:rsidRPr="005D10C1">
              <w:rPr>
                <w:rFonts w:ascii="Candara" w:eastAsia="Times New Roman" w:hAnsi="Candara" w:cs="Arial"/>
                <w:b/>
                <w:lang w:eastAsia="es-CO"/>
              </w:rPr>
              <w:t>*</w:t>
            </w:r>
          </w:p>
        </w:tc>
        <w:tc>
          <w:tcPr>
            <w:tcW w:w="2356" w:type="pct"/>
            <w:tcBorders>
              <w:top w:val="nil"/>
              <w:left w:val="nil"/>
              <w:bottom w:val="single" w:sz="4" w:space="0" w:color="auto"/>
              <w:right w:val="single" w:sz="4" w:space="0" w:color="auto"/>
            </w:tcBorders>
            <w:shd w:val="clear" w:color="auto" w:fill="auto"/>
            <w:vAlign w:val="center"/>
            <w:hideMark/>
          </w:tcPr>
          <w:p w14:paraId="0F308751" w14:textId="77777777" w:rsidR="00392712" w:rsidRPr="005D10C1" w:rsidRDefault="00392712" w:rsidP="000B06E5">
            <w:pPr>
              <w:spacing w:line="240" w:lineRule="auto"/>
              <w:jc w:val="left"/>
              <w:rPr>
                <w:rFonts w:ascii="Candara" w:eastAsia="Times New Roman" w:hAnsi="Candara" w:cs="Arial"/>
                <w:lang w:eastAsia="es-CO"/>
              </w:rPr>
            </w:pPr>
            <w:r w:rsidRPr="005D10C1">
              <w:rPr>
                <w:rFonts w:ascii="Candara" w:eastAsia="Times New Roman" w:hAnsi="Candara" w:cs="Arial"/>
                <w:lang w:eastAsia="es-CO"/>
              </w:rPr>
              <w:t>Relación de explotación de licencia</w:t>
            </w:r>
          </w:p>
        </w:tc>
      </w:tr>
      <w:tr w:rsidR="00392712" w:rsidRPr="005D10C1" w14:paraId="62BE613F" w14:textId="77777777" w:rsidTr="000B06E5">
        <w:trPr>
          <w:trHeight w:val="300"/>
          <w:jc w:val="center"/>
        </w:trPr>
        <w:tc>
          <w:tcPr>
            <w:tcW w:w="1061" w:type="pct"/>
            <w:vMerge/>
            <w:tcBorders>
              <w:top w:val="nil"/>
              <w:left w:val="single" w:sz="4" w:space="0" w:color="auto"/>
              <w:bottom w:val="single" w:sz="4" w:space="0" w:color="000000"/>
              <w:right w:val="single" w:sz="4" w:space="0" w:color="auto"/>
            </w:tcBorders>
            <w:vAlign w:val="center"/>
            <w:hideMark/>
          </w:tcPr>
          <w:p w14:paraId="2016C60E" w14:textId="77777777" w:rsidR="00392712" w:rsidRPr="005D10C1" w:rsidRDefault="00392712" w:rsidP="000B06E5">
            <w:pPr>
              <w:spacing w:line="240" w:lineRule="auto"/>
              <w:jc w:val="left"/>
              <w:rPr>
                <w:rFonts w:ascii="Candara" w:eastAsia="Times New Roman" w:hAnsi="Candara" w:cs="Arial"/>
                <w:lang w:eastAsia="es-CO"/>
              </w:rPr>
            </w:pPr>
          </w:p>
        </w:tc>
        <w:tc>
          <w:tcPr>
            <w:tcW w:w="1583" w:type="pct"/>
            <w:tcBorders>
              <w:top w:val="nil"/>
              <w:left w:val="nil"/>
              <w:bottom w:val="single" w:sz="4" w:space="0" w:color="auto"/>
              <w:right w:val="single" w:sz="4" w:space="0" w:color="auto"/>
            </w:tcBorders>
            <w:shd w:val="clear" w:color="auto" w:fill="auto"/>
            <w:vAlign w:val="center"/>
            <w:hideMark/>
          </w:tcPr>
          <w:p w14:paraId="24B8B9AA" w14:textId="77777777" w:rsidR="00392712" w:rsidRPr="005D10C1" w:rsidRDefault="00392712" w:rsidP="000B06E5">
            <w:pPr>
              <w:spacing w:line="240" w:lineRule="auto"/>
              <w:jc w:val="left"/>
              <w:rPr>
                <w:rFonts w:ascii="Candara" w:eastAsia="Times New Roman" w:hAnsi="Candara" w:cs="Arial"/>
                <w:lang w:eastAsia="es-CO"/>
              </w:rPr>
            </w:pPr>
            <w:r w:rsidRPr="005D10C1">
              <w:rPr>
                <w:rFonts w:ascii="Candara" w:eastAsia="Times New Roman" w:hAnsi="Candara" w:cs="Arial"/>
                <w:i/>
                <w:lang w:eastAsia="es-CO"/>
              </w:rPr>
              <w:t>Spin-offs</w:t>
            </w:r>
            <w:r w:rsidRPr="005D10C1">
              <w:rPr>
                <w:rFonts w:ascii="Candara" w:eastAsia="Times New Roman" w:hAnsi="Candara" w:cs="Arial"/>
                <w:lang w:eastAsia="es-CO"/>
              </w:rPr>
              <w:t xml:space="preserve"> basadas en tecnología no patentada  </w:t>
            </w:r>
          </w:p>
        </w:tc>
        <w:tc>
          <w:tcPr>
            <w:tcW w:w="2356" w:type="pct"/>
            <w:tcBorders>
              <w:top w:val="nil"/>
              <w:left w:val="nil"/>
              <w:bottom w:val="single" w:sz="4" w:space="0" w:color="auto"/>
              <w:right w:val="single" w:sz="4" w:space="0" w:color="auto"/>
            </w:tcBorders>
            <w:shd w:val="clear" w:color="auto" w:fill="auto"/>
            <w:vAlign w:val="center"/>
            <w:hideMark/>
          </w:tcPr>
          <w:p w14:paraId="5DB77989" w14:textId="77777777" w:rsidR="00392712" w:rsidRPr="005D10C1" w:rsidRDefault="00392712" w:rsidP="000B06E5">
            <w:pPr>
              <w:keepNext/>
              <w:spacing w:line="240" w:lineRule="auto"/>
              <w:jc w:val="left"/>
              <w:rPr>
                <w:rFonts w:ascii="Candara" w:eastAsia="Times New Roman" w:hAnsi="Candara" w:cs="Arial"/>
                <w:lang w:eastAsia="es-CO"/>
              </w:rPr>
            </w:pPr>
            <w:r w:rsidRPr="005D10C1">
              <w:rPr>
                <w:rFonts w:ascii="Candara" w:eastAsia="Times New Roman" w:hAnsi="Candara" w:cs="Arial"/>
                <w:lang w:eastAsia="es-CO"/>
              </w:rPr>
              <w:t>No</w:t>
            </w:r>
          </w:p>
        </w:tc>
      </w:tr>
    </w:tbl>
    <w:p w14:paraId="3CA59DFB" w14:textId="77777777" w:rsidR="00392712" w:rsidRPr="005D10C1" w:rsidRDefault="0080480E" w:rsidP="0080480E">
      <w:pPr>
        <w:pStyle w:val="Descripcin"/>
        <w:rPr>
          <w:rFonts w:ascii="Candara" w:hAnsi="Candara" w:cs="Arial"/>
          <w:b w:val="0"/>
          <w:color w:val="auto"/>
          <w:highlight w:val="yellow"/>
        </w:rPr>
      </w:pPr>
      <w:bookmarkStart w:id="12" w:name="_Ref367365525"/>
      <w:r w:rsidRPr="005D10C1">
        <w:rPr>
          <w:rFonts w:ascii="Candara" w:hAnsi="Candara"/>
          <w:color w:val="auto"/>
        </w:rPr>
        <w:t xml:space="preserve">Tabla </w:t>
      </w:r>
      <w:r w:rsidR="003B0D24" w:rsidRPr="005D10C1">
        <w:rPr>
          <w:rFonts w:ascii="Candara" w:hAnsi="Candara"/>
          <w:color w:val="auto"/>
        </w:rPr>
        <w:fldChar w:fldCharType="begin"/>
      </w:r>
      <w:r w:rsidR="00323BC7" w:rsidRPr="005D10C1">
        <w:rPr>
          <w:rFonts w:ascii="Candara" w:hAnsi="Candara"/>
          <w:color w:val="auto"/>
        </w:rPr>
        <w:instrText xml:space="preserve"> SEQ Tabla \* ARABIC </w:instrText>
      </w:r>
      <w:r w:rsidR="003B0D24" w:rsidRPr="005D10C1">
        <w:rPr>
          <w:rFonts w:ascii="Candara" w:hAnsi="Candara"/>
          <w:color w:val="auto"/>
        </w:rPr>
        <w:fldChar w:fldCharType="separate"/>
      </w:r>
      <w:r w:rsidR="005D10C1">
        <w:rPr>
          <w:rFonts w:ascii="Candara" w:hAnsi="Candara"/>
          <w:noProof/>
          <w:color w:val="auto"/>
        </w:rPr>
        <w:t>1</w:t>
      </w:r>
      <w:r w:rsidR="003B0D24" w:rsidRPr="005D10C1">
        <w:rPr>
          <w:rFonts w:ascii="Candara" w:hAnsi="Candara"/>
          <w:color w:val="auto"/>
        </w:rPr>
        <w:fldChar w:fldCharType="end"/>
      </w:r>
      <w:bookmarkEnd w:id="12"/>
      <w:r w:rsidRPr="005D10C1">
        <w:rPr>
          <w:rFonts w:ascii="Candara" w:hAnsi="Candara"/>
          <w:color w:val="auto"/>
        </w:rPr>
        <w:t>:</w:t>
      </w:r>
      <w:r w:rsidRPr="005D10C1">
        <w:rPr>
          <w:rFonts w:ascii="Candara" w:hAnsi="Candara"/>
          <w:b w:val="0"/>
          <w:color w:val="auto"/>
        </w:rPr>
        <w:t xml:space="preserve"> Recopilac</w:t>
      </w:r>
      <w:r w:rsidR="00CA708E" w:rsidRPr="005D10C1">
        <w:rPr>
          <w:rFonts w:ascii="Candara" w:hAnsi="Candara"/>
          <w:b w:val="0"/>
          <w:color w:val="auto"/>
        </w:rPr>
        <w:t xml:space="preserve">ión de definiciones de </w:t>
      </w:r>
      <w:r w:rsidR="00CA708E" w:rsidRPr="005D10C1">
        <w:rPr>
          <w:rFonts w:ascii="Candara" w:hAnsi="Candara"/>
          <w:b w:val="0"/>
          <w:i/>
          <w:color w:val="auto"/>
        </w:rPr>
        <w:t>spin-off</w:t>
      </w:r>
      <w:r w:rsidRPr="005D10C1">
        <w:rPr>
          <w:rFonts w:ascii="Candara" w:hAnsi="Candara"/>
          <w:b w:val="0"/>
          <w:color w:val="auto"/>
        </w:rPr>
        <w:t>. Creación propia</w:t>
      </w:r>
    </w:p>
    <w:p w14:paraId="38AA75D5" w14:textId="77777777" w:rsidR="00392712" w:rsidRPr="005D10C1" w:rsidRDefault="00392712" w:rsidP="00392712">
      <w:pPr>
        <w:autoSpaceDE w:val="0"/>
        <w:autoSpaceDN w:val="0"/>
        <w:adjustRightInd w:val="0"/>
        <w:spacing w:line="360" w:lineRule="auto"/>
        <w:rPr>
          <w:rFonts w:ascii="Candara" w:hAnsi="Candara" w:cs="Arial"/>
        </w:rPr>
      </w:pPr>
    </w:p>
    <w:p w14:paraId="7E774970" w14:textId="77777777" w:rsidR="00113F3A" w:rsidRPr="005D10C1" w:rsidRDefault="0080480E" w:rsidP="00392712">
      <w:pPr>
        <w:autoSpaceDE w:val="0"/>
        <w:autoSpaceDN w:val="0"/>
        <w:adjustRightInd w:val="0"/>
        <w:spacing w:line="360" w:lineRule="auto"/>
        <w:rPr>
          <w:rFonts w:ascii="Candara" w:hAnsi="Candara" w:cs="Arial"/>
        </w:rPr>
      </w:pPr>
      <w:r w:rsidRPr="005D10C1">
        <w:rPr>
          <w:rFonts w:ascii="Candara" w:hAnsi="Candara" w:cs="Arial"/>
        </w:rPr>
        <w:t xml:space="preserve">En este sentido, es conveniente definir </w:t>
      </w:r>
      <w:r w:rsidR="00113F3A" w:rsidRPr="005D10C1">
        <w:rPr>
          <w:rFonts w:ascii="Candara" w:hAnsi="Candara" w:cs="Arial"/>
        </w:rPr>
        <w:t>las spin-offs de interés para este proyecto son:</w:t>
      </w:r>
    </w:p>
    <w:p w14:paraId="41493E74" w14:textId="77777777" w:rsidR="00113F3A" w:rsidRPr="005D10C1" w:rsidRDefault="00113F3A" w:rsidP="001B24A9">
      <w:pPr>
        <w:pStyle w:val="Prrafodelista"/>
        <w:numPr>
          <w:ilvl w:val="0"/>
          <w:numId w:val="16"/>
        </w:numPr>
        <w:autoSpaceDE w:val="0"/>
        <w:autoSpaceDN w:val="0"/>
        <w:adjustRightInd w:val="0"/>
        <w:spacing w:line="360" w:lineRule="auto"/>
        <w:rPr>
          <w:rFonts w:ascii="Candara" w:hAnsi="Candara" w:cs="Arial"/>
        </w:rPr>
      </w:pPr>
      <w:r w:rsidRPr="005D10C1">
        <w:rPr>
          <w:rFonts w:ascii="Candara" w:hAnsi="Candara" w:cs="Arial"/>
        </w:rPr>
        <w:t>empresas surgidas de universidades públicas;</w:t>
      </w:r>
    </w:p>
    <w:p w14:paraId="31EDD038" w14:textId="77777777" w:rsidR="00113F3A" w:rsidRPr="005D10C1" w:rsidRDefault="00113F3A" w:rsidP="001B24A9">
      <w:pPr>
        <w:pStyle w:val="Prrafodelista"/>
        <w:numPr>
          <w:ilvl w:val="0"/>
          <w:numId w:val="16"/>
        </w:numPr>
        <w:autoSpaceDE w:val="0"/>
        <w:autoSpaceDN w:val="0"/>
        <w:adjustRightInd w:val="0"/>
        <w:spacing w:line="360" w:lineRule="auto"/>
        <w:rPr>
          <w:rFonts w:ascii="Candara" w:hAnsi="Candara" w:cs="Arial"/>
        </w:rPr>
      </w:pPr>
      <w:r w:rsidRPr="005D10C1">
        <w:rPr>
          <w:rFonts w:ascii="Candara" w:hAnsi="Candara" w:cs="Arial"/>
        </w:rPr>
        <w:t xml:space="preserve">creadas por uno o más miembros de la comunidad científica, con el fin de explotar comercialmente una parte de los conocimientos desarrollados en el marco de sus actividades de investigación  </w:t>
      </w:r>
      <w:r w:rsidR="003B0D24" w:rsidRPr="005D10C1">
        <w:rPr>
          <w:rFonts w:ascii="Candara" w:hAnsi="Candara"/>
        </w:rPr>
        <w:fldChar w:fldCharType="begin" w:fldLock="1"/>
      </w:r>
      <w:r w:rsidR="00CA1A09" w:rsidRPr="005D10C1">
        <w:rPr>
          <w:rFonts w:ascii="Candara" w:hAnsi="Candara"/>
        </w:rPr>
        <w:instrText>ADDIN CSL_CITATION { "citationItems" : [ { "id" : "ITEM-1", "itemData" : { "author" : [ { "dropping-particle" : "", "family" : "Beraza", "given" : "Jos\u00e9 Mar\u00eda", "non-dropping-particle" : "", "parse-names" : false, "suffix" : "" } ], "id" : "ITEM-1", "issue" : "C", "issued" : { "date-parts" : [ [ "2010" ] ] }, "page" : "1021", "publisher" : "Universidad del Pa\u00eds Vasco", "title" : "Los programas de apoyo a la creaci\u00f3n de spin-offs acad\u00e9micas en las universidades espa\u00f1olas: una comparaci\u00f3n internacional", "type" : "thesis", "volume" : "2010" }, "uris" : [ "http://www.mendeley.com/documents/?uuid=dd3c0ee1-2100-4b18-a4fc-40c68b897782" ] } ], "mendeley" : { "previouslyFormattedCitation" : "(Beraza, 2010)" }, "properties" : { "noteIndex" : 0 }, "schema" : "https://github.com/citation-style-language/schema/raw/master/csl-citation.json" }</w:instrText>
      </w:r>
      <w:r w:rsidR="003B0D24" w:rsidRPr="005D10C1">
        <w:rPr>
          <w:rFonts w:ascii="Candara" w:hAnsi="Candara"/>
        </w:rPr>
        <w:fldChar w:fldCharType="separate"/>
      </w:r>
      <w:r w:rsidR="00665B7A" w:rsidRPr="005D10C1">
        <w:rPr>
          <w:rFonts w:ascii="Candara" w:hAnsi="Candara"/>
          <w:noProof/>
        </w:rPr>
        <w:t>(Beraza, 2010)</w:t>
      </w:r>
      <w:r w:rsidR="003B0D24" w:rsidRPr="005D10C1">
        <w:rPr>
          <w:rFonts w:ascii="Candara" w:hAnsi="Candara"/>
        </w:rPr>
        <w:fldChar w:fldCharType="end"/>
      </w:r>
      <w:r w:rsidRPr="005D10C1">
        <w:rPr>
          <w:rFonts w:ascii="Candara" w:hAnsi="Candara"/>
        </w:rPr>
        <w:t>;</w:t>
      </w:r>
    </w:p>
    <w:p w14:paraId="0B59B349" w14:textId="77777777" w:rsidR="00113F3A" w:rsidRPr="005D10C1" w:rsidRDefault="004E503B" w:rsidP="001B24A9">
      <w:pPr>
        <w:pStyle w:val="Prrafodelista"/>
        <w:numPr>
          <w:ilvl w:val="0"/>
          <w:numId w:val="16"/>
        </w:numPr>
        <w:autoSpaceDE w:val="0"/>
        <w:autoSpaceDN w:val="0"/>
        <w:adjustRightInd w:val="0"/>
        <w:spacing w:line="360" w:lineRule="auto"/>
        <w:rPr>
          <w:rFonts w:ascii="Candara" w:hAnsi="Candara" w:cs="Arial"/>
        </w:rPr>
      </w:pPr>
      <w:r w:rsidRPr="005D10C1">
        <w:rPr>
          <w:rFonts w:ascii="Candara" w:hAnsi="Candara" w:cs="Arial"/>
        </w:rPr>
        <w:t>p</w:t>
      </w:r>
      <w:r w:rsidR="00113F3A" w:rsidRPr="005D10C1">
        <w:rPr>
          <w:rFonts w:ascii="Candara" w:hAnsi="Candara" w:cs="Arial"/>
        </w:rPr>
        <w:t xml:space="preserve">or lo menos uno de los propietarios intelectuales de la tecnología (inventores) actúan como socios de la empresa </w:t>
      </w:r>
      <w:r w:rsidR="003B0D24" w:rsidRPr="005D10C1">
        <w:rPr>
          <w:rFonts w:ascii="Candara" w:hAnsi="Candara" w:cs="Arial"/>
        </w:rPr>
        <w:fldChar w:fldCharType="begin" w:fldLock="1"/>
      </w:r>
      <w:r w:rsidR="00CA1A09" w:rsidRPr="005D10C1">
        <w:rPr>
          <w:rFonts w:ascii="Candara" w:hAnsi="Candara" w:cs="Arial"/>
        </w:rPr>
        <w:instrText>ADDIN CSL_CITATION { "citationItems" : [ { "id" : "ITEM-1", "itemData" : { "author" : [ { "dropping-particle" : "", "family" : "Nicolaou", "given" : "N", "non-dropping-particle" : "", "parse-names" : false, "suffix" : "" }, { "dropping-particle" : "", "family" : "Birley", "given" : "S", "non-dropping-particle" : "", "parse-names" : false, "suffix" : "" } ], "container-title" : "Frontiers of Entrepreneurship Research, Babson  \u2026", "id" : "ITEM-1", "issued" : { "date-parts" : [ [ "2002" ] ] }, "title" : "Academic networds, exodus and university spinout structure", "type" : "article-journal" }, "uris" : [ "http://www.mendeley.com/documents/?uuid=31b05c5a-6a9e-4afd-8252-277777663253" ] } ], "mendeley" : { "previouslyFormattedCitation" : "(Nicolaou &amp; Birley, 2002)" }, "properties" : { "noteIndex" : 0 }, "schema" : "https://github.com/citation-style-language/schema/raw/master/csl-citation.json" }</w:instrText>
      </w:r>
      <w:r w:rsidR="003B0D24" w:rsidRPr="005D10C1">
        <w:rPr>
          <w:rFonts w:ascii="Candara" w:hAnsi="Candara" w:cs="Arial"/>
        </w:rPr>
        <w:fldChar w:fldCharType="separate"/>
      </w:r>
      <w:r w:rsidR="00D04D2D" w:rsidRPr="005D10C1">
        <w:rPr>
          <w:rFonts w:ascii="Candara" w:hAnsi="Candara" w:cs="Arial"/>
          <w:noProof/>
        </w:rPr>
        <w:t>(Nicolaou &amp; Birley, 2002)</w:t>
      </w:r>
      <w:r w:rsidR="003B0D24" w:rsidRPr="005D10C1">
        <w:rPr>
          <w:rFonts w:ascii="Candara" w:hAnsi="Candara" w:cs="Arial"/>
        </w:rPr>
        <w:fldChar w:fldCharType="end"/>
      </w:r>
      <w:r w:rsidR="00113F3A" w:rsidRPr="005D10C1">
        <w:rPr>
          <w:rFonts w:ascii="Candara" w:hAnsi="Candara" w:cs="Arial"/>
        </w:rPr>
        <w:t>;</w:t>
      </w:r>
    </w:p>
    <w:p w14:paraId="0B3FC12D" w14:textId="77777777" w:rsidR="00113F3A" w:rsidRPr="005D10C1" w:rsidRDefault="004E503B" w:rsidP="001B24A9">
      <w:pPr>
        <w:pStyle w:val="Prrafodelista"/>
        <w:numPr>
          <w:ilvl w:val="0"/>
          <w:numId w:val="16"/>
        </w:numPr>
        <w:autoSpaceDE w:val="0"/>
        <w:autoSpaceDN w:val="0"/>
        <w:adjustRightInd w:val="0"/>
        <w:spacing w:line="360" w:lineRule="auto"/>
        <w:rPr>
          <w:rFonts w:ascii="Candara" w:hAnsi="Candara" w:cs="Arial"/>
        </w:rPr>
      </w:pPr>
      <w:r w:rsidRPr="005D10C1">
        <w:rPr>
          <w:rFonts w:ascii="Candara" w:hAnsi="Candara" w:cs="Arial"/>
        </w:rPr>
        <w:t>l</w:t>
      </w:r>
      <w:r w:rsidR="00113F3A" w:rsidRPr="005D10C1">
        <w:rPr>
          <w:rFonts w:ascii="Candara" w:hAnsi="Candara" w:cs="Arial"/>
        </w:rPr>
        <w:t xml:space="preserve">a organización madre posee participación y vinculación en aspectos relacionales y económicos </w:t>
      </w:r>
      <w:r w:rsidR="003B0D24" w:rsidRPr="005D10C1">
        <w:rPr>
          <w:rFonts w:ascii="Candara" w:hAnsi="Candara" w:cs="ArialNarrow"/>
        </w:rPr>
        <w:fldChar w:fldCharType="begin" w:fldLock="1"/>
      </w:r>
      <w:r w:rsidR="00CA1A09" w:rsidRPr="005D10C1">
        <w:rPr>
          <w:rFonts w:ascii="Candara" w:hAnsi="Candara" w:cs="ArialNarrow"/>
        </w:rPr>
        <w:instrText>ADDIN CSL_CITATION { "citationItems" : [ { "id" : "ITEM-1", "itemData" : { "author" : [ { "dropping-particle" : "", "family" : "Wallin", "given" : "MW", "non-dropping-particle" : "", "parse-names" : false, "suffix" : "" }, { "dropping-particle" : "", "family" : "Dahlstrand", "given" : "\u00c5 Lindholm", "non-dropping-particle" : "", "parse-names" : false, "suffix" : "" } ], "container-title" : "Technovation", "id" : "ITEM-1", "issued" : { "date-parts" : [ [ "2006" ] ] }, "title" : "Sponsored spin-offs, industrial growth and change", "type" : "article-journal" }, "uris" : [ "http://www.mendeley.com/documents/?uuid=35cb1c72-9f63-4bf9-9c71-9bb77764d87c" ] } ], "mendeley" : { "previouslyFormattedCitation" : "(Wallin &amp; Dahlstrand, 2006)" }, "properties" : { "noteIndex" : 0 }, "schema" : "https://github.com/citation-style-language/schema/raw/master/csl-citation.json" }</w:instrText>
      </w:r>
      <w:r w:rsidR="003B0D24" w:rsidRPr="005D10C1">
        <w:rPr>
          <w:rFonts w:ascii="Candara" w:hAnsi="Candara" w:cs="ArialNarrow"/>
        </w:rPr>
        <w:fldChar w:fldCharType="separate"/>
      </w:r>
      <w:r w:rsidR="00113F3A" w:rsidRPr="005D10C1">
        <w:rPr>
          <w:rFonts w:ascii="Candara" w:hAnsi="Candara" w:cs="ArialNarrow"/>
          <w:noProof/>
        </w:rPr>
        <w:t>(Wallin &amp; Dahlstrand, 2006)</w:t>
      </w:r>
      <w:r w:rsidR="003B0D24" w:rsidRPr="005D10C1">
        <w:rPr>
          <w:rFonts w:ascii="Candara" w:hAnsi="Candara" w:cs="ArialNarrow"/>
        </w:rPr>
        <w:fldChar w:fldCharType="end"/>
      </w:r>
      <w:r w:rsidR="00113F3A" w:rsidRPr="005D10C1">
        <w:rPr>
          <w:rFonts w:ascii="Candara" w:hAnsi="Candara" w:cs="Arial"/>
        </w:rPr>
        <w:t>;</w:t>
      </w:r>
    </w:p>
    <w:p w14:paraId="27E2A408" w14:textId="77777777" w:rsidR="00113F3A" w:rsidRPr="005D10C1" w:rsidRDefault="004E503B" w:rsidP="001B24A9">
      <w:pPr>
        <w:pStyle w:val="Prrafodelista"/>
        <w:numPr>
          <w:ilvl w:val="0"/>
          <w:numId w:val="16"/>
        </w:numPr>
        <w:autoSpaceDE w:val="0"/>
        <w:autoSpaceDN w:val="0"/>
        <w:adjustRightInd w:val="0"/>
        <w:spacing w:line="360" w:lineRule="auto"/>
        <w:rPr>
          <w:rFonts w:ascii="Candara" w:hAnsi="Candara" w:cs="Arial"/>
          <w:lang w:val="es-ES"/>
        </w:rPr>
      </w:pPr>
      <w:r w:rsidRPr="005D10C1">
        <w:rPr>
          <w:rFonts w:ascii="Candara" w:hAnsi="Candara" w:cs="Arial"/>
        </w:rPr>
        <w:t xml:space="preserve">o que exista un contrato para la transferencia de tecnología entre la nueva empresa y la organización de origen </w:t>
      </w:r>
      <w:r w:rsidR="003B0D24" w:rsidRPr="005D10C1">
        <w:rPr>
          <w:rFonts w:ascii="Candara" w:hAnsi="Candara" w:cs="Arial"/>
        </w:rPr>
        <w:fldChar w:fldCharType="begin" w:fldLock="1"/>
      </w:r>
      <w:r w:rsidR="00CA1A09" w:rsidRPr="005D10C1">
        <w:rPr>
          <w:rFonts w:ascii="Candara" w:hAnsi="Candara" w:cs="Arial"/>
          <w:lang w:val="es-ES"/>
        </w:rPr>
        <w:instrText>ADDIN CSL_CITATION { "citationItems" : [ { "id" : "ITEM-1", "itemData" : { "DOI" : "10.1016/j.jbusvent.2004.07.002", "ISSN" : "08839026", "author" : [ { "dropping-particle" : "", "family" : "Grandi", "given" : "", "non-dropping-particle" : "", "parse-names" : false, "suffix" : "" }, { "dropping-particle" : "", "family" : "Grimaldi", "given" : "Rosa", "non-dropping-particle" : "", "parse-names" : false, "suffix" : "" } ], "container-title" : "Journal of Business Venturing", "id" : "ITEM-1", "issue" : "6", "issued" : { "date-parts" : [ [ "2005", "11" ] ] }, "page" : "821-845", "title" : "Academics' organizational characteristics and the generation of successful business ideas", "type" : "article-journal", "volume" : "20" }, "uris" : [ "http://www.mendeley.com/documents/?uuid=8d803696-783e-422d-abe7-93e9d40872e4" ] } ], "mendeley" : { "previouslyFormattedCitation" : "(Grandi &amp; Grimaldi, 2005)" }, "properties" : { "noteIndex" : 0 }, "schema" : "https://github.com/citation-style-language/schema/raw/master/csl-citation.json" }</w:instrText>
      </w:r>
      <w:r w:rsidR="003B0D24" w:rsidRPr="005D10C1">
        <w:rPr>
          <w:rFonts w:ascii="Candara" w:hAnsi="Candara" w:cs="Arial"/>
        </w:rPr>
        <w:fldChar w:fldCharType="separate"/>
      </w:r>
      <w:r w:rsidR="00113F3A" w:rsidRPr="005D10C1">
        <w:rPr>
          <w:rFonts w:ascii="Candara" w:hAnsi="Candara" w:cs="Arial"/>
          <w:noProof/>
          <w:lang w:val="es-ES"/>
        </w:rPr>
        <w:t>(Grandi &amp; Grimaldi, 2005)</w:t>
      </w:r>
      <w:r w:rsidR="003B0D24" w:rsidRPr="005D10C1">
        <w:rPr>
          <w:rFonts w:ascii="Candara" w:hAnsi="Candara" w:cs="Arial"/>
        </w:rPr>
        <w:fldChar w:fldCharType="end"/>
      </w:r>
      <w:r w:rsidR="00113F3A" w:rsidRPr="005D10C1">
        <w:rPr>
          <w:rFonts w:ascii="Candara" w:hAnsi="Candara" w:cs="Arial"/>
          <w:lang w:val="es-ES"/>
        </w:rPr>
        <w:t xml:space="preserve">. </w:t>
      </w:r>
    </w:p>
    <w:p w14:paraId="3CBB81BA" w14:textId="77777777" w:rsidR="00D246A9" w:rsidRPr="005D10C1" w:rsidRDefault="00D246A9" w:rsidP="00D246A9">
      <w:pPr>
        <w:pStyle w:val="Prrafodelista"/>
        <w:autoSpaceDE w:val="0"/>
        <w:autoSpaceDN w:val="0"/>
        <w:adjustRightInd w:val="0"/>
        <w:spacing w:line="360" w:lineRule="auto"/>
        <w:rPr>
          <w:rFonts w:ascii="Candara" w:hAnsi="Candara" w:cs="Arial"/>
          <w:lang w:val="es-ES"/>
        </w:rPr>
      </w:pPr>
    </w:p>
    <w:p w14:paraId="006C869B" w14:textId="77777777" w:rsidR="00C815FD" w:rsidRPr="005D10C1" w:rsidRDefault="00BF6DB7">
      <w:pPr>
        <w:pStyle w:val="Ttulo2"/>
        <w:rPr>
          <w:rFonts w:ascii="Candara" w:hAnsi="Candara"/>
          <w:color w:val="auto"/>
        </w:rPr>
      </w:pPr>
      <w:bookmarkStart w:id="13" w:name="_Toc377653142"/>
      <w:r w:rsidRPr="005D10C1">
        <w:rPr>
          <w:rFonts w:ascii="Candara" w:hAnsi="Candara"/>
          <w:color w:val="auto"/>
        </w:rPr>
        <w:t>La creación de spin-off y los factores que la afectan</w:t>
      </w:r>
      <w:bookmarkEnd w:id="13"/>
    </w:p>
    <w:p w14:paraId="5E74871A" w14:textId="77777777" w:rsidR="005950D8" w:rsidRPr="005D10C1" w:rsidRDefault="005950D8" w:rsidP="005950D8">
      <w:pPr>
        <w:rPr>
          <w:rFonts w:ascii="Candara" w:hAnsi="Candara"/>
        </w:rPr>
      </w:pPr>
    </w:p>
    <w:p w14:paraId="376FE363" w14:textId="77777777" w:rsidR="00040360" w:rsidRPr="005D10C1" w:rsidRDefault="00940ED3" w:rsidP="000A520D">
      <w:pPr>
        <w:spacing w:line="360" w:lineRule="auto"/>
        <w:rPr>
          <w:rStyle w:val="Textoennegrita"/>
          <w:rFonts w:ascii="Candara" w:hAnsi="Candara" w:cstheme="minorHAnsi"/>
        </w:rPr>
      </w:pPr>
      <w:r w:rsidRPr="005D10C1">
        <w:rPr>
          <w:rStyle w:val="Textoennegrita"/>
          <w:rFonts w:ascii="Candara" w:hAnsi="Candara" w:cstheme="minorHAnsi"/>
        </w:rPr>
        <w:lastRenderedPageBreak/>
        <w:t xml:space="preserve">Los factores que inciden en la creación de empresas tipo spin-off, pueden clasificarse en </w:t>
      </w:r>
      <w:r w:rsidR="00040360" w:rsidRPr="005D10C1">
        <w:rPr>
          <w:rStyle w:val="Textoennegrita"/>
          <w:rFonts w:ascii="Candara" w:hAnsi="Candara" w:cstheme="minorHAnsi"/>
        </w:rPr>
        <w:t>3 grupos</w:t>
      </w:r>
      <w:r w:rsidRPr="005D10C1">
        <w:rPr>
          <w:rStyle w:val="Textoennegrita"/>
          <w:rFonts w:ascii="Candara" w:hAnsi="Candara" w:cstheme="minorHAnsi"/>
        </w:rPr>
        <w:t>: asociados a los</w:t>
      </w:r>
      <w:r w:rsidR="00040360" w:rsidRPr="005D10C1">
        <w:rPr>
          <w:rStyle w:val="Textoennegrita"/>
          <w:rFonts w:ascii="Candara" w:hAnsi="Candara" w:cstheme="minorHAnsi"/>
        </w:rPr>
        <w:t xml:space="preserve"> emprendedores</w:t>
      </w:r>
      <w:r w:rsidR="00C4359C" w:rsidRPr="005D10C1">
        <w:rPr>
          <w:rStyle w:val="Textoennegrita"/>
          <w:rFonts w:ascii="Candara" w:hAnsi="Candara" w:cstheme="minorHAnsi"/>
        </w:rPr>
        <w:t xml:space="preserve"> o investigadores</w:t>
      </w:r>
      <w:r w:rsidR="00040360" w:rsidRPr="005D10C1">
        <w:rPr>
          <w:rStyle w:val="Textoennegrita"/>
          <w:rFonts w:ascii="Candara" w:hAnsi="Candara" w:cstheme="minorHAnsi"/>
        </w:rPr>
        <w:t>,</w:t>
      </w:r>
      <w:r w:rsidR="003F1303" w:rsidRPr="005D10C1">
        <w:rPr>
          <w:rStyle w:val="Textoennegrita"/>
          <w:rFonts w:ascii="Candara" w:hAnsi="Candara" w:cstheme="minorHAnsi"/>
        </w:rPr>
        <w:t xml:space="preserve"> </w:t>
      </w:r>
      <w:r w:rsidRPr="005D10C1">
        <w:rPr>
          <w:rStyle w:val="Textoennegrita"/>
          <w:rFonts w:ascii="Candara" w:hAnsi="Candara" w:cstheme="minorHAnsi"/>
        </w:rPr>
        <w:t xml:space="preserve">la nueva empresa u </w:t>
      </w:r>
      <w:r w:rsidR="00040360" w:rsidRPr="005D10C1">
        <w:rPr>
          <w:rStyle w:val="Textoennegrita"/>
          <w:rFonts w:ascii="Candara" w:hAnsi="Candara" w:cstheme="minorHAnsi"/>
        </w:rPr>
        <w:t>organizacionales y</w:t>
      </w:r>
      <w:r w:rsidRPr="005D10C1">
        <w:rPr>
          <w:rStyle w:val="Textoennegrita"/>
          <w:rFonts w:ascii="Candara" w:hAnsi="Candara" w:cstheme="minorHAnsi"/>
        </w:rPr>
        <w:t>, por último, a</w:t>
      </w:r>
      <w:r w:rsidR="00040360" w:rsidRPr="005D10C1">
        <w:rPr>
          <w:rStyle w:val="Textoennegrita"/>
          <w:rFonts w:ascii="Candara" w:hAnsi="Candara" w:cstheme="minorHAnsi"/>
        </w:rPr>
        <w:t xml:space="preserve">l ambiente o entorno institucional </w:t>
      </w:r>
      <w:r w:rsidR="003B0D24" w:rsidRPr="005D10C1">
        <w:rPr>
          <w:rStyle w:val="Textoennegrita"/>
          <w:rFonts w:ascii="Candara" w:hAnsi="Candara" w:cstheme="minorHAnsi"/>
        </w:rPr>
        <w:fldChar w:fldCharType="begin" w:fldLock="1"/>
      </w:r>
      <w:r w:rsidR="00CA1A09" w:rsidRPr="005D10C1">
        <w:rPr>
          <w:rStyle w:val="Textoennegrita"/>
          <w:rFonts w:ascii="Candara" w:hAnsi="Candara" w:cstheme="minorHAnsi"/>
        </w:rPr>
        <w:instrText>ADDIN CSL_CITATION { "citationItems" : [ { "id" : "ITEM-1", "itemData" : { "author" : [ { "dropping-particle" : "", "family" : "Ospina", "given" : "N\u00e9stor", "non-dropping-particle" : "", "parse-names" : false, "suffix" : "" } ], "id" : "ITEM-1", "issued" : { "date-parts" : [ [ "2012" ] ] }, "publisher" : "Universidad Nacional de Colombia", "title" : "\u00c9xitos y fracasos en las spin-off acad\u00e9micas", "type" : "thesis" }, "uris" : [ "http://www.mendeley.com/documents/?uuid=b7d02555-8ca4-4bf4-8e8b-bb597e2576ad" ] } ], "mendeley" : { "previouslyFormattedCitation" : "(Ospina, 2012)" }, "properties" : { "noteIndex" : 0 }, "schema" : "https://github.com/citation-style-language/schema/raw/master/csl-citation.json" }</w:instrText>
      </w:r>
      <w:r w:rsidR="003B0D24" w:rsidRPr="005D10C1">
        <w:rPr>
          <w:rStyle w:val="Textoennegrita"/>
          <w:rFonts w:ascii="Candara" w:hAnsi="Candara" w:cstheme="minorHAnsi"/>
        </w:rPr>
        <w:fldChar w:fldCharType="separate"/>
      </w:r>
      <w:r w:rsidR="00040360" w:rsidRPr="005D10C1">
        <w:rPr>
          <w:rStyle w:val="Textoennegrita"/>
          <w:rFonts w:ascii="Candara" w:hAnsi="Candara" w:cstheme="minorHAnsi"/>
          <w:noProof/>
        </w:rPr>
        <w:t>(Ospina, 2012)</w:t>
      </w:r>
      <w:r w:rsidR="003B0D24" w:rsidRPr="005D10C1">
        <w:rPr>
          <w:rStyle w:val="Textoennegrita"/>
          <w:rFonts w:ascii="Candara" w:hAnsi="Candara" w:cstheme="minorHAnsi"/>
        </w:rPr>
        <w:fldChar w:fldCharType="end"/>
      </w:r>
      <w:r w:rsidR="00040360" w:rsidRPr="005D10C1">
        <w:rPr>
          <w:rStyle w:val="Textoennegrita"/>
          <w:rFonts w:ascii="Candara" w:hAnsi="Candara" w:cstheme="minorHAnsi"/>
        </w:rPr>
        <w:t>.</w:t>
      </w:r>
      <w:r w:rsidR="00FF4346" w:rsidRPr="005D10C1">
        <w:rPr>
          <w:rStyle w:val="Textoennegrita"/>
          <w:rFonts w:ascii="Candara" w:hAnsi="Candara" w:cstheme="minorHAnsi"/>
        </w:rPr>
        <w:t xml:space="preserve"> Dichos factores pueden afectar positiva (facilita) o negativamente (impide) la creación de estas empresas, dependiendo de su orientación.</w:t>
      </w:r>
    </w:p>
    <w:p w14:paraId="5A732454" w14:textId="77777777" w:rsidR="00040360" w:rsidRPr="005D10C1" w:rsidRDefault="00040360" w:rsidP="000A520D">
      <w:pPr>
        <w:pStyle w:val="Prrafodelista"/>
        <w:spacing w:line="360" w:lineRule="auto"/>
        <w:rPr>
          <w:rStyle w:val="Textoennegrita"/>
          <w:rFonts w:ascii="Candara" w:hAnsi="Candara" w:cstheme="minorHAnsi"/>
        </w:rPr>
      </w:pPr>
    </w:p>
    <w:p w14:paraId="0E45A2C7" w14:textId="77777777" w:rsidR="00040360" w:rsidRPr="005D10C1" w:rsidRDefault="00040360" w:rsidP="00C4359C">
      <w:pPr>
        <w:spacing w:line="360" w:lineRule="auto"/>
        <w:rPr>
          <w:rFonts w:ascii="Candara" w:hAnsi="Candara" w:cs="Arial"/>
        </w:rPr>
      </w:pPr>
      <w:r w:rsidRPr="005D10C1">
        <w:rPr>
          <w:rStyle w:val="Textoennegrita"/>
          <w:rFonts w:ascii="Candara" w:hAnsi="Candara" w:cstheme="minorHAnsi"/>
        </w:rPr>
        <w:t xml:space="preserve">En el grupo de factores </w:t>
      </w:r>
      <w:r w:rsidR="00A01F4A" w:rsidRPr="005D10C1">
        <w:rPr>
          <w:rStyle w:val="Textoennegrita"/>
          <w:rFonts w:ascii="Candara" w:hAnsi="Candara" w:cstheme="minorHAnsi"/>
        </w:rPr>
        <w:t>asociados a</w:t>
      </w:r>
      <w:r w:rsidRPr="005D10C1">
        <w:rPr>
          <w:rStyle w:val="Textoennegrita"/>
          <w:rFonts w:ascii="Candara" w:hAnsi="Candara" w:cstheme="minorHAnsi"/>
        </w:rPr>
        <w:t xml:space="preserve"> los </w:t>
      </w:r>
      <w:r w:rsidRPr="005D10C1">
        <w:rPr>
          <w:rStyle w:val="Textoennegrita"/>
          <w:rFonts w:ascii="Candara" w:hAnsi="Candara" w:cstheme="minorHAnsi"/>
          <w:b/>
        </w:rPr>
        <w:t>emprendedores</w:t>
      </w:r>
      <w:r w:rsidR="00C4359C" w:rsidRPr="005D10C1">
        <w:rPr>
          <w:rStyle w:val="Textoennegrita"/>
          <w:rFonts w:ascii="Candara" w:hAnsi="Candara" w:cstheme="minorHAnsi"/>
          <w:b/>
        </w:rPr>
        <w:t xml:space="preserve"> o investigadores</w:t>
      </w:r>
      <w:r w:rsidR="00A01F4A" w:rsidRPr="005D10C1">
        <w:rPr>
          <w:rStyle w:val="Textoennegrita"/>
          <w:rFonts w:ascii="Candara" w:hAnsi="Candara" w:cstheme="minorHAnsi"/>
          <w:b/>
        </w:rPr>
        <w:t xml:space="preserve">, </w:t>
      </w:r>
      <w:r w:rsidR="00C4359C" w:rsidRPr="005D10C1">
        <w:rPr>
          <w:rStyle w:val="Textoennegrita"/>
          <w:rFonts w:ascii="Candara" w:hAnsi="Candara" w:cstheme="minorHAnsi"/>
        </w:rPr>
        <w:t>se encuentran las características relativas a su carrera académica</w:t>
      </w:r>
      <w:r w:rsidR="00374A26" w:rsidRPr="005D10C1">
        <w:rPr>
          <w:rStyle w:val="Textoennegrita"/>
          <w:rFonts w:ascii="Candara" w:hAnsi="Candara" w:cstheme="minorHAnsi"/>
        </w:rPr>
        <w:t xml:space="preserve"> </w:t>
      </w:r>
      <w:r w:rsidR="003B0D24" w:rsidRPr="005D10C1">
        <w:rPr>
          <w:rStyle w:val="Textoennegrita"/>
          <w:rFonts w:ascii="Candara" w:hAnsi="Candara" w:cstheme="minorHAnsi"/>
        </w:rPr>
        <w:fldChar w:fldCharType="begin" w:fldLock="1"/>
      </w:r>
      <w:r w:rsidR="00CA1A09" w:rsidRPr="005D10C1">
        <w:rPr>
          <w:rStyle w:val="Textoennegrita"/>
          <w:rFonts w:ascii="Candara" w:hAnsi="Candara" w:cstheme="minorHAnsi"/>
        </w:rPr>
        <w:instrText>ADDIN CSL_CITATION { "citationItems" : [ { "id" : "ITEM-1", "itemData" : { "author" : [ { "dropping-particle" : "", "family" : "Doutriaux", "given" : "J", "non-dropping-particle" : "", "parse-names" : false, "suffix" : "" }, { "dropping-particle" : "", "family" : "Peterman", "given" : "BF", "non-dropping-particle" : "", "parse-names" : false, "suffix" : "" } ], "container-title" : "Frontiers of Entrepreneurship Research", "id" : "ITEM-1", "issued" : { "date-parts" : [ [ "1982" ] ] }, "title" : "Technology transfer and academic entrepreneurship", "type" : "article-journal" }, "uris" : [ "http://www.mendeley.com/documents/?uuid=50c26805-4f57-4b23-8699-49a53e65ceb8" ] }, { "id" : "ITEM-2", "itemData" : { "author" : [ { "dropping-particle" : "", "family" : "Louis", "given" : "KS", "non-dropping-particle" : "", "parse-names" : false, "suffix" : "" }, { "dropping-particle" : "", "family" : "Blumenthal", "given" : "D", "non-dropping-particle" : "", "parse-names" : false, "suffix" : "" }, { "dropping-particle" : "", "family" : "Gluck", "given" : "ME", "non-dropping-particle" : "", "parse-names" : false, "suffix" : "" }, { "dropping-particle" : "", "family" : "Stoto", "given" : "MA", "non-dropping-particle" : "", "parse-names" : false, "suffix" : "" } ], "container-title" : "Administrative Science Quarterly", "id" : "ITEM-2", "issued" : { "date-parts" : [ [ "1989" ] ] }, "title" : "Entrepreneurs in academe: An exploration of behaviors among life scientists", "type" : "article-journal" }, "uris" : [ "http://www.mendeley.com/documents/?uuid=ca750b81-4fe2-4a26-81fb-fa7f87cf9847" ] }, { "id" : "ITEM-3", "itemData" : { "DOI" : "10.1007/s10961-005-6108-x", "ISSN" : "0892-9912", "author" : [ { "dropping-particle" : "", "family" : "Searle", "given" : "Catherine", "non-dropping-particle" : "", "parse-names" : false, "suffix" : "" } ], "container-title" : "The Journal of Technology Transfer", "id" : "ITEM-3", "issue" : "2", "issued" : { "date-parts" : [ [ "2006", "3" ] ] }, "page" : "227-239", "title" : "Academic Capitalism and University Incentives for Faculty Entrepreneurship", "type" : "article-journal", "volume" : "31" }, "uris" : [ "http://www.mendeley.com/documents/?uuid=e7f7def5-6f23-491e-a58b-7fd83b4de93b" ] } ], "mendeley" : { "previouslyFormattedCitation" : "(Doutriaux &amp; Peterman, 1982; Louis, Blumenthal, Gluck, &amp; Stoto, 1989; Searle, 2006)" }, "properties" : { "noteIndex" : 0 }, "schema" : "https://github.com/citation-style-language/schema/raw/master/csl-citation.json" }</w:instrText>
      </w:r>
      <w:r w:rsidR="003B0D24" w:rsidRPr="005D10C1">
        <w:rPr>
          <w:rStyle w:val="Textoennegrita"/>
          <w:rFonts w:ascii="Candara" w:hAnsi="Candara" w:cstheme="minorHAnsi"/>
        </w:rPr>
        <w:fldChar w:fldCharType="separate"/>
      </w:r>
      <w:r w:rsidR="00AC0479" w:rsidRPr="005D10C1">
        <w:rPr>
          <w:rStyle w:val="Textoennegrita"/>
          <w:rFonts w:ascii="Candara" w:hAnsi="Candara" w:cstheme="minorHAnsi"/>
          <w:noProof/>
        </w:rPr>
        <w:t>(Doutriaux &amp; Peterman, 1982; Louis, Blumenthal, Gluck, &amp; Stoto, 1989; Searle, 2006)</w:t>
      </w:r>
      <w:r w:rsidR="003B0D24" w:rsidRPr="005D10C1">
        <w:rPr>
          <w:rStyle w:val="Textoennegrita"/>
          <w:rFonts w:ascii="Candara" w:hAnsi="Candara" w:cstheme="minorHAnsi"/>
        </w:rPr>
        <w:fldChar w:fldCharType="end"/>
      </w:r>
      <w:r w:rsidR="00C4359C" w:rsidRPr="005D10C1">
        <w:rPr>
          <w:rStyle w:val="Textoennegrita"/>
          <w:rFonts w:ascii="Candara" w:hAnsi="Candara" w:cstheme="minorHAnsi"/>
        </w:rPr>
        <w:t>, su trayectoria investigadora</w:t>
      </w:r>
      <w:r w:rsidR="00374A26" w:rsidRPr="005D10C1">
        <w:rPr>
          <w:rStyle w:val="Textoennegrita"/>
          <w:rFonts w:ascii="Candara" w:hAnsi="Candara" w:cstheme="minorHAnsi"/>
        </w:rPr>
        <w:t xml:space="preserve"> </w:t>
      </w:r>
      <w:r w:rsidR="003B0D24" w:rsidRPr="005D10C1">
        <w:rPr>
          <w:rStyle w:val="Textoennegrita"/>
          <w:rFonts w:ascii="Candara" w:hAnsi="Candara" w:cstheme="minorHAnsi"/>
        </w:rPr>
        <w:fldChar w:fldCharType="begin" w:fldLock="1"/>
      </w:r>
      <w:r w:rsidR="00CA1A09" w:rsidRPr="005D10C1">
        <w:rPr>
          <w:rStyle w:val="Textoennegrita"/>
          <w:rFonts w:ascii="Candara" w:hAnsi="Candara" w:cstheme="minorHAnsi"/>
        </w:rPr>
        <w:instrText>ADDIN CSL_CITATION { "citationItems" : [ { "id" : "ITEM-1", "itemData" : { "author" : [ { "dropping-particle" : "", "family" : "Gregorio", "given" : "D", "non-dropping-particle" : "Di", "parse-names" : false, "suffix" : "" }, { "dropping-particle" : "", "family" : "Shane", "given" : "S", "non-dropping-particle" : "", "parse-names" : false, "suffix" : "" } ], "container-title" : "Research policy", "id" : "ITEM-1", "issued" : { "date-parts" : [ [ "2003" ] ] }, "title" : "Why do some universities generate more start-ups than others?", "type" : "article-journal" }, "uris" : [ "http://www.mendeley.com/documents/?uuid=3464184e-468c-4394-a2aa-7bbc2d4e3a20" ] }, { "id" : "ITEM-2", "itemData" : { "DOI" : "10.1016/S0048-7333(03)00107-0", "ISSN" : "00487333", "author" : [ { "dropping-particle" : "", "family" : "Vohora", "given" : "Ajay", "non-dropping-particle" : "", "parse-names" : false, "suffix" : "" }, { "dropping-particle" : "", "family" : "Wright", "given" : "Mike", "non-dropping-particle" : "", "parse-names" : false, "suffix" : "" }, { "dropping-particle" : "", "family" : "Lockett", "given" : "Andy", "non-dropping-particle" : "", "parse-names" : false, "suffix" : "" } ], "container-title" : "Research Policy", "id" : "ITEM-2", "issue" : "1", "issued" : { "date-parts" : [ [ "2004", "1" ] ] }, "page" : "147-175", "title" : "Critical junctures in the development of university high-tech spinout companies", "type" : "article-journal", "volume" : "33" }, "uris" : [ "http://www.mendeley.com/documents/?uuid=39bb17e9-32e5-48d2-8c9d-bd9792cfa965" ] }, { "id" : "ITEM-3", "itemData" : { "author" : [ { "dropping-particle" : "", "family" : "Feldman", "given" : "MP", "non-dropping-particle" : "", "parse-names" : false, "suffix" : "" }, { "dropping-particle" : "", "family" : "Feller", "given" : "I", "non-dropping-particle" : "", "parse-names" : false, "suffix" : "" }, { "dropping-particle" : "", "family" : "Bercovitz", "given" : "JL", "non-dropping-particle" : "", "parse-names" : false, "suffix" : "" }, { "dropping-particle" : "", "family" : "Burton", "given" : "R", "non-dropping-particle" : "", "parse-names" : false, "suffix" : "" } ], "container-title" : "Innovation Policy in the Knowledge-based Economy", "id" : "ITEM-3", "issued" : { "date-parts" : [ [ "2001" ] ] }, "title" : "Understanding evolving university-industry relationships", "type" : "article-journal" }, "uris" : [ "http://www.mendeley.com/documents/?uuid=68c830e3-c6c7-49af-ae35-a1c813847cde" ] }, { "id" : "ITEM-4", "itemData" : { "author" : [ { "dropping-particle" : "", "family" : "Zucker", "given" : "LG", "non-dropping-particle" : "", "parse-names" : false, "suffix" : "" }, { "dropping-particle" : "", "family" : "Darby", "given" : "MR", "non-dropping-particle" : "", "parse-names" : false, "suffix" : "" }, { "dropping-particle" : "", "family" : "Brewer", "given" : "MB", "non-dropping-particle" : "", "parse-names" : false, "suffix" : "" } ], "container-title" : "American Economic Review", "id" : "ITEM-4", "issue" : "1", "issued" : { "date-parts" : [ [ "1999" ] ] }, "page" : "290-305", "title" : "Intellectual capital and the birth of US biotechnology enterprises", "type" : "article-journal", "volume" : "33" }, "uris" : [ "http://www.mendeley.com/documents/?uuid=3e81200d-3629-4bc0-8042-10ac3e256dd9" ] } ], "mendeley" : { "previouslyFormattedCitation" : "(Di Gregorio &amp; Shane, 2003; Feldman, Feller, Bercovitz, &amp; Burton, 2001; Vohora, Wright, &amp; Lockett, 2004; Zucker, Darby, &amp; Brewer, 1999)" }, "properties" : { "noteIndex" : 0 }, "schema" : "https://github.com/citation-style-language/schema/raw/master/csl-citation.json" }</w:instrText>
      </w:r>
      <w:r w:rsidR="003B0D24" w:rsidRPr="005D10C1">
        <w:rPr>
          <w:rStyle w:val="Textoennegrita"/>
          <w:rFonts w:ascii="Candara" w:hAnsi="Candara" w:cstheme="minorHAnsi"/>
        </w:rPr>
        <w:fldChar w:fldCharType="separate"/>
      </w:r>
      <w:r w:rsidR="00625C8B" w:rsidRPr="005D10C1">
        <w:rPr>
          <w:rStyle w:val="Textoennegrita"/>
          <w:rFonts w:ascii="Candara" w:hAnsi="Candara" w:cstheme="minorHAnsi"/>
          <w:noProof/>
        </w:rPr>
        <w:t>(Di Gregorio &amp; Shane, 2003; Feldman, Feller, Bercovitz, &amp; Burton, 2001; Vohora, Wright, &amp; Lockett, 2004; Zucker, Darby, &amp; Brewer, 1999)</w:t>
      </w:r>
      <w:r w:rsidR="003B0D24" w:rsidRPr="005D10C1">
        <w:rPr>
          <w:rStyle w:val="Textoennegrita"/>
          <w:rFonts w:ascii="Candara" w:hAnsi="Candara" w:cstheme="minorHAnsi"/>
        </w:rPr>
        <w:fldChar w:fldCharType="end"/>
      </w:r>
      <w:r w:rsidR="00C4359C" w:rsidRPr="005D10C1">
        <w:rPr>
          <w:rStyle w:val="Textoennegrita"/>
          <w:rFonts w:ascii="Candara" w:hAnsi="Candara" w:cstheme="minorHAnsi"/>
        </w:rPr>
        <w:t>, la etapa de la carrera académica en que se encuentre</w:t>
      </w:r>
      <w:r w:rsidR="00183E40" w:rsidRPr="005D10C1">
        <w:rPr>
          <w:rStyle w:val="Textoennegrita"/>
          <w:rFonts w:ascii="Candara" w:hAnsi="Candara" w:cstheme="minorHAnsi"/>
        </w:rPr>
        <w:t xml:space="preserve"> </w:t>
      </w:r>
      <w:r w:rsidR="003B0D24" w:rsidRPr="005D10C1">
        <w:rPr>
          <w:rStyle w:val="Textoennegrita"/>
          <w:rFonts w:ascii="Candara" w:hAnsi="Candara" w:cstheme="minorHAnsi"/>
        </w:rPr>
        <w:fldChar w:fldCharType="begin" w:fldLock="1"/>
      </w:r>
      <w:r w:rsidR="00CA1A09" w:rsidRPr="005D10C1">
        <w:rPr>
          <w:rStyle w:val="Textoennegrita"/>
          <w:rFonts w:ascii="Candara" w:hAnsi="Candara" w:cstheme="minorHAnsi"/>
        </w:rPr>
        <w:instrText>ADDIN CSL_CITATION { "citationItems" : [ { "id" : "ITEM-1", "itemData" : { "ISBN" : "1 84376 454 7 (cased)", "author" : [ { "dropping-particle" : "", "family" : "Shane", "given" : "Scott Andrew", "non-dropping-particle" : "", "parse-names" : false, "suffix" : "" } ], "id" : "ITEM-1", "issued" : { "date-parts" : [ [ "2004" ] ] }, "page" : "335", "publisher" : "Edward Elgar Publishing Limited", "publisher-place" : "Cheltenham", "title" : "Academic entrepreneurship: University spinoffs and wealth creation", "type" : "book" }, "uris" : [ "http://www.mendeley.com/documents/?uuid=19de7b78-f5da-4230-9553-a2ed133a1170" ] } ], "mendeley" : { "previouslyFormattedCitation" : "(Shane, 2004)" }, "properties" : { "noteIndex" : 0 }, "schema" : "https://github.com/citation-style-language/schema/raw/master/csl-citation.json" }</w:instrText>
      </w:r>
      <w:r w:rsidR="003B0D24" w:rsidRPr="005D10C1">
        <w:rPr>
          <w:rStyle w:val="Textoennegrita"/>
          <w:rFonts w:ascii="Candara" w:hAnsi="Candara" w:cstheme="minorHAnsi"/>
        </w:rPr>
        <w:fldChar w:fldCharType="separate"/>
      </w:r>
      <w:r w:rsidR="00183E40" w:rsidRPr="005D10C1">
        <w:rPr>
          <w:rStyle w:val="Textoennegrita"/>
          <w:rFonts w:ascii="Candara" w:hAnsi="Candara" w:cstheme="minorHAnsi"/>
          <w:noProof/>
        </w:rPr>
        <w:t>(Shane, 2004)</w:t>
      </w:r>
      <w:r w:rsidR="003B0D24" w:rsidRPr="005D10C1">
        <w:rPr>
          <w:rStyle w:val="Textoennegrita"/>
          <w:rFonts w:ascii="Candara" w:hAnsi="Candara" w:cstheme="minorHAnsi"/>
        </w:rPr>
        <w:fldChar w:fldCharType="end"/>
      </w:r>
      <w:r w:rsidR="00C4359C" w:rsidRPr="005D10C1">
        <w:rPr>
          <w:rStyle w:val="Textoennegrita"/>
          <w:rFonts w:ascii="Candara" w:hAnsi="Candara" w:cstheme="minorHAnsi"/>
        </w:rPr>
        <w:t>, su nivel de interrelación con el sector industrial o empresarial</w:t>
      </w:r>
      <w:r w:rsidR="00C45679" w:rsidRPr="005D10C1">
        <w:rPr>
          <w:rStyle w:val="Textoennegrita"/>
          <w:rFonts w:ascii="Candara" w:hAnsi="Candara" w:cstheme="minorHAnsi"/>
        </w:rPr>
        <w:t xml:space="preserve"> </w:t>
      </w:r>
      <w:r w:rsidR="003B0D24" w:rsidRPr="005D10C1">
        <w:rPr>
          <w:rStyle w:val="Textoennegrita"/>
          <w:rFonts w:ascii="Candara" w:hAnsi="Candara" w:cstheme="minorHAnsi"/>
        </w:rPr>
        <w:fldChar w:fldCharType="begin" w:fldLock="1"/>
      </w:r>
      <w:r w:rsidR="00CA1A09" w:rsidRPr="005D10C1">
        <w:rPr>
          <w:rStyle w:val="Textoennegrita"/>
          <w:rFonts w:ascii="Candara" w:hAnsi="Candara" w:cstheme="minorHAnsi"/>
        </w:rPr>
        <w:instrText>ADDIN CSL_CITATION { "citationItems" : [ { "id" : "ITEM-1", "itemData" : { "DOI" : "10.1109/ICIEEM.2009.5344535", "ISBN" : "978-1-4244-3671-2", "abstract" : "This research paper is about to examine the role of spin-off companies in research and development. The paper emphasizes the success factors (closeness to parent institutions, founder's competencies, life experience, R&amp;D capacity, industrial concentration) in spin-off development. We introduce ELINOR Engineering Ltd., a Hungarian technology-oriented spin-off company, which can be seen as a good case for a successful spin-off company. The company initiated a new project in healthcare, which aims to develop duplex threaded fixing screw for more efficient curing of femoral fractures. The project is characterized by pronounced interdisciplinarity linking traumatology, technology engineering and business management. The paper shows the development of this project by emphasizing the success factors of spin-off companies.", "author" : [ { "dropping-particle" : "", "family" : "Bagi", "given" : "I.", "non-dropping-particle" : "", "parse-names" : false, "suffix" : "" }, { "dropping-particle" : "", "family" : "Balint", "given" : "A.", "non-dropping-particle" : "", "parse-names" : false, "suffix" : "" } ], "container-title" : "2009 16th International Conference on Industrial Engineering and Engineering Management", "id" : "ITEM-1", "issued" : { "date-parts" : [ [ "2009", "10" ] ] }, "page" : "525-529", "publisher" : "IEEE", "title" : "The importance of spin-off companies in R&amp;D activities", "type" : "paper-conference" }, "uris" : [ "http://www.mendeley.com/documents/?uuid=857447ce-de3c-43d3-a862-d6492d391b5a" ] } ], "mendeley" : { "previouslyFormattedCitation" : "(Bagi &amp; Balint, 2009)" }, "properties" : { "noteIndex" : 0 }, "schema" : "https://github.com/citation-style-language/schema/raw/master/csl-citation.json" }</w:instrText>
      </w:r>
      <w:r w:rsidR="003B0D24" w:rsidRPr="005D10C1">
        <w:rPr>
          <w:rStyle w:val="Textoennegrita"/>
          <w:rFonts w:ascii="Candara" w:hAnsi="Candara" w:cstheme="minorHAnsi"/>
        </w:rPr>
        <w:fldChar w:fldCharType="separate"/>
      </w:r>
      <w:r w:rsidR="00C45679" w:rsidRPr="005D10C1">
        <w:rPr>
          <w:rStyle w:val="Textoennegrita"/>
          <w:rFonts w:ascii="Candara" w:hAnsi="Candara" w:cstheme="minorHAnsi"/>
          <w:noProof/>
        </w:rPr>
        <w:t>(Bagi &amp; Balint, 2009)</w:t>
      </w:r>
      <w:r w:rsidR="003B0D24" w:rsidRPr="005D10C1">
        <w:rPr>
          <w:rStyle w:val="Textoennegrita"/>
          <w:rFonts w:ascii="Candara" w:hAnsi="Candara" w:cstheme="minorHAnsi"/>
        </w:rPr>
        <w:fldChar w:fldCharType="end"/>
      </w:r>
      <w:r w:rsidR="00C4359C" w:rsidRPr="005D10C1">
        <w:rPr>
          <w:rStyle w:val="Textoennegrita"/>
          <w:rFonts w:ascii="Candara" w:hAnsi="Candara" w:cstheme="minorHAnsi"/>
        </w:rPr>
        <w:t>, la capacidad de detectar oportunidades de negocio</w:t>
      </w:r>
      <w:r w:rsidR="00C45679" w:rsidRPr="005D10C1">
        <w:rPr>
          <w:rStyle w:val="Textoennegrita"/>
          <w:rFonts w:ascii="Candara" w:hAnsi="Candara" w:cstheme="minorHAnsi"/>
        </w:rPr>
        <w:t xml:space="preserve"> </w:t>
      </w:r>
      <w:r w:rsidR="003B0D24" w:rsidRPr="005D10C1">
        <w:rPr>
          <w:rStyle w:val="Textoennegrita"/>
          <w:rFonts w:ascii="Candara" w:hAnsi="Candara" w:cstheme="minorHAnsi"/>
        </w:rPr>
        <w:fldChar w:fldCharType="begin" w:fldLock="1"/>
      </w:r>
      <w:r w:rsidR="00CA1A09" w:rsidRPr="005D10C1">
        <w:rPr>
          <w:rStyle w:val="Textoennegrita"/>
          <w:rFonts w:ascii="Candara" w:hAnsi="Candara" w:cstheme="minorHAnsi"/>
        </w:rPr>
        <w:instrText>ADDIN CSL_CITATION { "citationItems" : [ { "id" : "ITEM-1", "itemData" : { "DOI" : "10.1111/j.1540-5885.2007.00280.x", "ISSN" : "07376782", "author" : [ { "dropping-particle" : "", "family" : "Song", "given" : "Michael", "non-dropping-particle" : "", "parse-names" : false, "suffix" : "" }, { "dropping-particle" : "", "family" : "Podoynitsyna", "given" : "Ksenia", "non-dropping-particle" : "", "parse-names" : false, "suffix" : "" }, { "dropping-particle" : "", "family" : "Bij", "given" : "Hans", "non-dropping-particle" : "Van Der", "parse-names" : false, "suffix" : "" }, { "dropping-particle" : "", "family" : "Halman", "given" : "Johannes I. M.", "non-dropping-particle" : "", "parse-names" : false, "suffix" : "" } ], "container-title" : "Journal of Product Innovation Management", "id" : "ITEM-1", "issue" : "1", "issued" : { "date-parts" : [ [ "2007", "12" ] ] }, "page" : "7-27", "shortTitle" : "Success Factors in New Ventures", "title" : "Success Factors in New Ventures: A Meta-analysis*", "type" : "article-journal", "volume" : "25" }, "uris" : [ "http://www.mendeley.com/documents/?uuid=a06e3524-91a3-4a31-a894-1540665a51db" ] } ], "mendeley" : { "previouslyFormattedCitation" : "(Song, Podoynitsyna, Van Der Bij, &amp; Halman, 2007)" }, "properties" : { "noteIndex" : 0 }, "schema" : "https://github.com/citation-style-language/schema/raw/master/csl-citation.json" }</w:instrText>
      </w:r>
      <w:r w:rsidR="003B0D24" w:rsidRPr="005D10C1">
        <w:rPr>
          <w:rStyle w:val="Textoennegrita"/>
          <w:rFonts w:ascii="Candara" w:hAnsi="Candara" w:cstheme="minorHAnsi"/>
        </w:rPr>
        <w:fldChar w:fldCharType="separate"/>
      </w:r>
      <w:r w:rsidR="00C45679" w:rsidRPr="005D10C1">
        <w:rPr>
          <w:rStyle w:val="Textoennegrita"/>
          <w:rFonts w:ascii="Candara" w:hAnsi="Candara" w:cstheme="minorHAnsi"/>
          <w:noProof/>
        </w:rPr>
        <w:t>(Song, Podoynitsyna, Van Der Bij, &amp; Halman, 2007)</w:t>
      </w:r>
      <w:r w:rsidR="003B0D24" w:rsidRPr="005D10C1">
        <w:rPr>
          <w:rStyle w:val="Textoennegrita"/>
          <w:rFonts w:ascii="Candara" w:hAnsi="Candara" w:cstheme="minorHAnsi"/>
        </w:rPr>
        <w:fldChar w:fldCharType="end"/>
      </w:r>
      <w:r w:rsidR="00C4359C" w:rsidRPr="005D10C1">
        <w:rPr>
          <w:rStyle w:val="Textoennegrita"/>
          <w:rFonts w:ascii="Candara" w:hAnsi="Candara" w:cstheme="minorHAnsi"/>
        </w:rPr>
        <w:t xml:space="preserve"> y, por supuesto, su orientación emprendedora </w:t>
      </w:r>
      <w:r w:rsidR="003B0D24" w:rsidRPr="005D10C1">
        <w:rPr>
          <w:rStyle w:val="Textoennegrita"/>
          <w:rFonts w:ascii="Candara" w:hAnsi="Candara" w:cstheme="minorHAnsi"/>
        </w:rPr>
        <w:fldChar w:fldCharType="begin" w:fldLock="1"/>
      </w:r>
      <w:r w:rsidR="00CA1A09" w:rsidRPr="005D10C1">
        <w:rPr>
          <w:rStyle w:val="Textoennegrita"/>
          <w:rFonts w:ascii="Candara" w:hAnsi="Candara" w:cstheme="minorHAnsi"/>
        </w:rPr>
        <w:instrText>ADDIN CSL_CITATION { "citationItems" : [ { "id" : "ITEM-1", "itemData" : { "author" : [ { "dropping-particle" : "", "family" : "Morales", "given" : "Silvia Teresa", "non-dropping-particle" : "", "parse-names" : false, "suffix" : "" } ], "id" : "ITEM-1", "issued" : { "date-parts" : [ [ "2008" ] ] }, "page" : "343", "publisher" : "Universitat de Valencia", "title" : "El emprendedor acad\u00e9mico y la decisi\u00f3n de crear Spin off: Un an\u00e1lisis del caso espa\u00f1ol.", "type" : "thesis" }, "uris" : [ "http://www.mendeley.com/documents/?uuid=10080cd6-1b1f-4c9b-975a-58b830c57e62" ] }, { "id" : "ITEM-2", "itemData" : { "DOI" : "10.1111/j.1467-6486.2010.00995.x", "ISSN" : "00222380", "author" : [ { "dropping-particle" : "", "family" : "Rasmussen", "given" : "Einar", "non-dropping-particle" : "", "parse-names" : false, "suffix" : "" }, { "dropping-particle" : "", "family" : "Mosey", "given" : "Simon", "non-dropping-particle" : "", "parse-names" : false, "suffix" : "" }, { "dropping-particle" : "", "family" : "Wright", "given" : "Mike", "non-dropping-particle" : "", "parse-names" : false, "suffix" : "" } ], "container-title" : "Journal of Management Studies", "id" : "ITEM-2", "issue" : "6", "issued" : { "date-parts" : [ [ "2011", "9", "17" ] ] }, "page" : "1314-1345", "title" : "The Evolution of Entrepreneurial Competencies: A Longitudinal Study of University Spin-Off Venture Emergence", "type" : "article-journal", "volume" : "48" }, "uris" : [ "http://www.mendeley.com/documents/?uuid=4ba92e08-23ed-4941-abd0-29934ce5c413" ] }, { "id" : "ITEM-3", "itemData" : { "DOI" : "10.1016/j.jbusvent.2005.02.005", "ISSN" : "08839026", "author" : [ { "dropping-particle" : "", "family" : "Walter", "given" : "A.", "non-dropping-particle" : "", "parse-names" : false, "suffix" : "" }, { "dropping-particle" : "", "family" : "Auer", "given" : "M.", "non-dropping-particle" : "", "parse-names" : false, "suffix" : "" }, { "dropping-particle" : "", "family" : "Ritter", "given" : "T.", "non-dropping-particle" : "", "parse-names" : false, "suffix" : "" } ], "container-title" : "Journal of Business Venturing", "id" : "ITEM-3", "issue" : "4", "issued" : { "date-parts" : [ [ "2006", "7" ] ] }, "page" : "541-567", "title" : "The impact of network capabilities and entrepreneurial orientation on university spin-off performance", "type" : "article-journal", "volume" : "21" }, "uris" : [ "http://www.mendeley.com/documents/?uuid=6a5349fe-6def-4cd6-ab5f-c3c9935217a8" ] } ], "mendeley" : { "previouslyFormattedCitation" : "(Morales, 2008; Rasmussen, Mosey, &amp; Wright, 2011; Walter et al., 2006)" }, "properties" : { "noteIndex" : 0 }, "schema" : "https://github.com/citation-style-language/schema/raw/master/csl-citation.json" }</w:instrText>
      </w:r>
      <w:r w:rsidR="003B0D24" w:rsidRPr="005D10C1">
        <w:rPr>
          <w:rStyle w:val="Textoennegrita"/>
          <w:rFonts w:ascii="Candara" w:hAnsi="Candara" w:cstheme="minorHAnsi"/>
        </w:rPr>
        <w:fldChar w:fldCharType="separate"/>
      </w:r>
      <w:r w:rsidR="00C45679" w:rsidRPr="005D10C1">
        <w:rPr>
          <w:rStyle w:val="Textoennegrita"/>
          <w:rFonts w:ascii="Candara" w:hAnsi="Candara" w:cstheme="minorHAnsi"/>
          <w:noProof/>
        </w:rPr>
        <w:t>(Morales, 2008; Rasmussen, Mosey, &amp; Wright, 2011; Walter et al., 2006)</w:t>
      </w:r>
      <w:r w:rsidR="003B0D24" w:rsidRPr="005D10C1">
        <w:rPr>
          <w:rStyle w:val="Textoennegrita"/>
          <w:rFonts w:ascii="Candara" w:hAnsi="Candara" w:cstheme="minorHAnsi"/>
        </w:rPr>
        <w:fldChar w:fldCharType="end"/>
      </w:r>
      <w:r w:rsidR="00C4359C" w:rsidRPr="005D10C1">
        <w:rPr>
          <w:rStyle w:val="Textoennegrita"/>
          <w:rFonts w:ascii="Candara" w:hAnsi="Candara" w:cstheme="minorHAnsi"/>
        </w:rPr>
        <w:t xml:space="preserve">.  Esta última </w:t>
      </w:r>
      <w:r w:rsidRPr="005D10C1">
        <w:rPr>
          <w:rFonts w:ascii="Candara" w:hAnsi="Candara" w:cs="Arial"/>
        </w:rPr>
        <w:t>está relacionada con las características de personalidad de los emprendedores y básicamente es una combinación de tres aspectos: la tendencia a apoyar las nuevas ideas, la proactividad y la propensión de toma de riesgos</w:t>
      </w:r>
      <w:r w:rsidR="000226A9" w:rsidRPr="005D10C1">
        <w:rPr>
          <w:rFonts w:ascii="Candara" w:hAnsi="Candara" w:cs="Arial"/>
        </w:rPr>
        <w:t xml:space="preserve"> </w:t>
      </w:r>
      <w:r w:rsidR="003B0D24" w:rsidRPr="005D10C1">
        <w:rPr>
          <w:rFonts w:ascii="Candara" w:hAnsi="Candara" w:cs="Arial"/>
        </w:rPr>
        <w:fldChar w:fldCharType="begin" w:fldLock="1"/>
      </w:r>
      <w:r w:rsidR="00CA1A09" w:rsidRPr="005D10C1">
        <w:rPr>
          <w:rFonts w:ascii="Candara" w:hAnsi="Candara" w:cs="Arial"/>
        </w:rPr>
        <w:instrText>ADDIN CSL_CITATION { "citationItems" : [ { "id" : "ITEM-1", "itemData" : { "author" : [ { "dropping-particle" : "", "family" : "Helm", "given" : "Roland", "non-dropping-particle" : "", "parse-names" : false, "suffix" : "" }, { "dropping-particle" : "", "family" : "Mauroner", "given" : "Oliver", "non-dropping-particle" : "", "parse-names" : false, "suffix" : "" }, { "dropping-particle" : "", "family" : "Dowling", "given" : "Michael", "non-dropping-particle" : "", "parse-names" : false, "suffix" : "" } ], "container-title" : "International Journal of Entrepreneurship and Small Business", "id" : "ITEM-1", "issue" : "4", "issued" : { "date-parts" : [ [ "2010" ] ] }, "page" : "472-491", "title" : "Innovation as mediator between entrepreneurial orientation and spin-off venture performance", "type" : "article-journal", "volume" : "11" }, "uris" : [ "http://www.mendeley.com/documents/?uuid=f2be820f-0e01-4de2-ac23-40cdf6e384be" ] } ], "mendeley" : { "previouslyFormattedCitation" : "(Helm, Mauroner, &amp; Dowling, 2010)" }, "properties" : { "noteIndex" : 0 }, "schema" : "https://github.com/citation-style-language/schema/raw/master/csl-citation.json" }</w:instrText>
      </w:r>
      <w:r w:rsidR="003B0D24" w:rsidRPr="005D10C1">
        <w:rPr>
          <w:rFonts w:ascii="Candara" w:hAnsi="Candara" w:cs="Arial"/>
        </w:rPr>
        <w:fldChar w:fldCharType="separate"/>
      </w:r>
      <w:r w:rsidRPr="005D10C1">
        <w:rPr>
          <w:rFonts w:ascii="Candara" w:hAnsi="Candara" w:cs="Arial"/>
          <w:noProof/>
        </w:rPr>
        <w:t>(Helm, Mauroner, &amp; Dowling, 2010)</w:t>
      </w:r>
      <w:r w:rsidR="003B0D24" w:rsidRPr="005D10C1">
        <w:rPr>
          <w:rFonts w:ascii="Candara" w:hAnsi="Candara" w:cs="Arial"/>
        </w:rPr>
        <w:fldChar w:fldCharType="end"/>
      </w:r>
      <w:r w:rsidRPr="005D10C1">
        <w:rPr>
          <w:rFonts w:ascii="Candara" w:hAnsi="Candara" w:cs="Arial"/>
        </w:rPr>
        <w:t>.</w:t>
      </w:r>
      <w:r w:rsidR="00C4359C" w:rsidRPr="005D10C1">
        <w:rPr>
          <w:rFonts w:ascii="Candara" w:hAnsi="Candara" w:cs="Arial"/>
        </w:rPr>
        <w:t xml:space="preserve"> </w:t>
      </w:r>
    </w:p>
    <w:p w14:paraId="2082743A" w14:textId="77777777" w:rsidR="00040360" w:rsidRPr="005D10C1" w:rsidRDefault="00040360" w:rsidP="00040360">
      <w:pPr>
        <w:pStyle w:val="Prrafodelista"/>
        <w:rPr>
          <w:rFonts w:ascii="Candara" w:hAnsi="Candara" w:cs="Arial"/>
        </w:rPr>
      </w:pPr>
    </w:p>
    <w:p w14:paraId="47B196EF" w14:textId="77777777" w:rsidR="00040360" w:rsidRPr="005D10C1" w:rsidRDefault="007351F1" w:rsidP="000A520D">
      <w:pPr>
        <w:spacing w:line="360" w:lineRule="auto"/>
        <w:rPr>
          <w:rFonts w:ascii="Candara" w:hAnsi="Candara" w:cs="Arial"/>
        </w:rPr>
      </w:pPr>
      <w:r w:rsidRPr="005D10C1">
        <w:rPr>
          <w:rFonts w:ascii="Candara" w:hAnsi="Candara" w:cs="Arial"/>
        </w:rPr>
        <w:t>El segundo grupo de factores</w:t>
      </w:r>
      <w:r w:rsidR="00877784" w:rsidRPr="005D10C1">
        <w:rPr>
          <w:rFonts w:ascii="Candara" w:hAnsi="Candara" w:cs="Arial"/>
        </w:rPr>
        <w:t xml:space="preserve"> está conformado por las </w:t>
      </w:r>
      <w:r w:rsidR="00040360" w:rsidRPr="005D10C1">
        <w:rPr>
          <w:rFonts w:ascii="Candara" w:hAnsi="Candara" w:cs="Arial"/>
        </w:rPr>
        <w:t xml:space="preserve">características propias del negocio </w:t>
      </w:r>
      <w:r w:rsidR="00D2678C" w:rsidRPr="005D10C1">
        <w:rPr>
          <w:rFonts w:ascii="Candara" w:hAnsi="Candara" w:cs="Arial"/>
        </w:rPr>
        <w:t xml:space="preserve">por lo que se denominan </w:t>
      </w:r>
      <w:r w:rsidR="00040360" w:rsidRPr="005D10C1">
        <w:rPr>
          <w:rFonts w:ascii="Candara" w:hAnsi="Candara" w:cs="Arial"/>
        </w:rPr>
        <w:t xml:space="preserve">factores de la </w:t>
      </w:r>
      <w:r w:rsidR="00040360" w:rsidRPr="005D10C1">
        <w:rPr>
          <w:rFonts w:ascii="Candara" w:hAnsi="Candara" w:cs="Arial"/>
          <w:b/>
        </w:rPr>
        <w:t>organización</w:t>
      </w:r>
      <w:r w:rsidR="00040360" w:rsidRPr="005D10C1">
        <w:rPr>
          <w:rFonts w:ascii="Candara" w:hAnsi="Candara" w:cs="Arial"/>
        </w:rPr>
        <w:t xml:space="preserve">, los cuales permiten que estas empresas comiencen a operar. En este grupo de factores se evidencia que la nueva firma puede verse afectada por las características de las ideas de negocio </w:t>
      </w:r>
      <w:r w:rsidR="003B0D24" w:rsidRPr="005D10C1">
        <w:rPr>
          <w:rFonts w:ascii="Candara" w:hAnsi="Candara" w:cs="Arial"/>
        </w:rPr>
        <w:fldChar w:fldCharType="begin" w:fldLock="1"/>
      </w:r>
      <w:r w:rsidR="00CA1A09" w:rsidRPr="005D10C1">
        <w:rPr>
          <w:rFonts w:ascii="Candara" w:hAnsi="Candara" w:cs="Arial"/>
        </w:rPr>
        <w:instrText>ADDIN CSL_CITATION { "citationItems" : [ { "id" : "ITEM-1", "itemData" : { "DOI" : "10.1007/s11846-007-0010-x", "ISSN" : "1863-6683", "author" : [ { "dropping-particle" : "", "family" : "Helm", "given" : "Roland", "non-dropping-particle" : "", "parse-names" : false, "suffix" : "" }, { "dropping-particle" : "", "family" : "Mauroner", "given" : "Oliver", "non-dropping-particle" : "", "parse-names" : false, "suffix" : "" } ], "container-title" : "Review of Managerial Science", "id" : "ITEM-1", "issue" : "3", "issued" : { "date-parts" : [ [ "2007", "7", "5" ] ] }, "page" : "237-270", "title" : "Success of research-based spin-offs. State-of-the-art and guidelines for further research", "type" : "article-journal", "volume" : "1" }, "uris" : [ "http://www.mendeley.com/documents/?uuid=71bd64ee-06ce-4e6f-a391-7c991951105b" ] } ], "mendeley" : { "previouslyFormattedCitation" : "(Helm &amp; Mauroner, 2007)" }, "properties" : { "noteIndex" : 0 }, "schema" : "https://github.com/citation-style-language/schema/raw/master/csl-citation.json" }</w:instrText>
      </w:r>
      <w:r w:rsidR="003B0D24" w:rsidRPr="005D10C1">
        <w:rPr>
          <w:rFonts w:ascii="Candara" w:hAnsi="Candara" w:cs="Arial"/>
        </w:rPr>
        <w:fldChar w:fldCharType="separate"/>
      </w:r>
      <w:r w:rsidR="00040360" w:rsidRPr="005D10C1">
        <w:rPr>
          <w:rFonts w:ascii="Candara" w:hAnsi="Candara" w:cs="Arial"/>
          <w:noProof/>
        </w:rPr>
        <w:t>(Helm &amp; Mauroner, 2007)</w:t>
      </w:r>
      <w:r w:rsidR="003B0D24" w:rsidRPr="005D10C1">
        <w:rPr>
          <w:rFonts w:ascii="Candara" w:hAnsi="Candara" w:cs="Arial"/>
        </w:rPr>
        <w:fldChar w:fldCharType="end"/>
      </w:r>
      <w:r w:rsidR="00040360" w:rsidRPr="005D10C1">
        <w:rPr>
          <w:rFonts w:ascii="Candara" w:hAnsi="Candara" w:cs="Arial"/>
        </w:rPr>
        <w:t xml:space="preserve">, la innovación tecnológica </w:t>
      </w:r>
      <w:r w:rsidR="003B0D24" w:rsidRPr="005D10C1">
        <w:rPr>
          <w:rFonts w:ascii="Candara" w:hAnsi="Candara" w:cs="Arial"/>
        </w:rPr>
        <w:fldChar w:fldCharType="begin" w:fldLock="1"/>
      </w:r>
      <w:r w:rsidR="00CA1A09" w:rsidRPr="005D10C1">
        <w:rPr>
          <w:rFonts w:ascii="Candara" w:hAnsi="Candara" w:cs="Arial"/>
        </w:rPr>
        <w:instrText>ADDIN CSL_CITATION { "citationItems" : [ { "id" : "ITEM-1", "itemData" : { "ISBN" : "1 84376 454 7 (cased)", "author" : [ { "dropping-particle" : "", "family" : "Shane", "given" : "Scott Andrew", "non-dropping-particle" : "", "parse-names" : false, "suffix" : "" } ], "id" : "ITEM-1", "issued" : { "date-parts" : [ [ "2004" ] ] }, "page" : "335", "publisher" : "Edward Elgar Publishing Limited", "publisher-place" : "Cheltenham", "title" : "Academic entrepreneurship: University spinoffs and wealth creation", "type" : "book" }, "uris" : [ "http://www.mendeley.com/documents/?uuid=19de7b78-f5da-4230-9553-a2ed133a1170" ] }, { "id" : "ITEM-2", "itemData" : { "DOI" : "10.1016/j.technovation.2009.07.004", "ISSN" : "01664972", "abstract" : "Following a design science approach, this paper develops a framework of policy design principles for fostering technology entrepreneurship in a region. These principles are grounded in research findings and describe the factors and causal mechanisms that explain the founding and success rates of both corporate and academic spin-offs. We differentiate between principles that serve the creation of spin-offs versus those focusing on their subsequent chances of success. We provide an in-depth empirical application of this framework to spin-off policy in the regions of Eindhoven and Leuven. This application of the framework serves to assess the extent to which standing spin-off policy in both regions is (1) up-to-date, (2) comprehensive as well as (3) sufficiently robust against 'policy fashions'. Several directions for redesigning spin-off policy follow from this assessment. \u00a9 2009 Elsevier Ltd. All rights reserved.", "author" : [ { "dropping-particle" : "", "family" : "Gilsing", "given" : "Victor A.", "non-dropping-particle" : "", "parse-names" : false, "suffix" : "" }, { "dropping-particle" : "", "family" : "Burg", "given" : "Elco", "non-dropping-particle" : "van", "parse-names" : false, "suffix" : "" }, { "dropping-particle" : "", "family" : "Romme", "given" : "Georges L.", "non-dropping-particle" : "", "parse-names" : false, "suffix" : "" } ], "container-title" : "Technovation", "id" : "ITEM-2", "issue" : "1", "issued" : { "date-parts" : [ [ "2010", "1" ] ] }, "note" : "        From Duplicate 2 (                           Policy principles for the creation and success of corporate and academic spin-offs                         - Gilsing, Victor A.; van Burg, Elco; Romme, A. Georges L. )\n                \nFollowing a design science approach, this paper develops a framework of policy design principles for fostering technology entrepreneurship in a region. These principles are grounded in research findings and describe the factors and causal mechanisms that explain the founding and success rates of both corporate and academic spin-offs. We differentiate between principles that serve the creation of spin-offs versus those focusing on their subsequent chances of success. We provide an in-depth empirical application of this framework to spin-off policy in the regions of Eindhoven and Leuven. This application of the framework serves to assess the extent to which standing spin-off policy in both regions is (1) up-to-date, (2) comprehensive as well as (3) sufficiently robust against [`]policy fashions'. Several directions for redesigning spin-off policy follow from this assessment.\n        \n        From Duplicate 3 (                           Policy principles for the creation and success of corporate and academic spin-offs                         - Gilsing, V.A.; van Burg, E.; Romme, A.G.L. )\n                \nSource: Scopus\n----------\nCited By (since 1996): 4\n----------\nExport Date: 18 March 2011\n----------\nFollowing a design science approach, this paper develops a framework of policy design principles for fostering technology entrepreneurship in a region. These principles are grounded in research findings and describe the factors and causal mechanisms that explain the founding and success rates of both corporate and academic spin-offs. We differentiate between principles that serve the creation of spin-offs versus those focusing on their subsequent chances of success. We provide an in-depth empirical application of this framework to spin-off policy in the regions of Eindhoven and Leuven. This application of the framework serves to assess the extent to which standing spin-off policy in both regions is (1) up-to-date, (2) comprehensive as well as (3) sufficiently robust against 'policy fashions'. Several directions for redesigning spin-off policy follow from this assessment. \u00c2\u00a9 2009 Elsevier Ltd. All rights reserved.\n----------\nReferences: Aldrich, H.E., Fiol, C.M., Fools rush in? The institutional context of industry creation (1994) Academy of Management Review, 19 (4), pp. 645-670;Anton, J.J., Yao, D.A., Start-ups, spin-offs, and internal projects (1995) Journal of Law, Economics, and Organization, 11 (2), pp. 362-378;Asheim, B.T., Coenen, L., Knowledge bases and regional innovation systems: comparing Nordic clusters (2005) Research Policy, 34 (8), pp. 1173-1190;Asheim, B.T., Gertler, M.S., The geography of innovation: regional innovation systems (2005) The Oxford Handbook of Innovation, pp. 291-317. , Fagerberg J., Mowery D.C., and Nelson R.R. (Eds), Oxford University Press, Oxford;Audretsch, D.B., Stephan, P.E., Company-scientist locational links: the case of biotechnology (1996) The American Economic Review, 86 (3), pp. 641-652;Bekkers, R., Gilsing, V., van der Steen, M., Determining factors of the effectiveness of IP-based spin-offs: comparing the Netherlands and the US (2006) Journal of Technology Transfer, 31 (5), pp. 545-566;Bergek, A., Norrman, C., Incubator best practice: a framework (2008) Technovation, 28 (1-2), pp. 20-28;Bower, D.J., Business model fashion and the academic spinout firm (2003) R&amp;D Management, 33 (2), pp. 97-106;Breschi, S., Malerba, F., Sectoral innovation systems: technological regimes, Schumpetarian dynamics and spatial boundaries (1997) Systems of Innovation, Technologies, Institutions and Organizations, , Edquist C. (Ed), Pinter, London;Chesbrough, H., (2003) Open innovation: the new imperative for creating and profiting from technology, , Harvard Business School Press, Harvard (MA);Chesbrough, H., Tucci, C.L., (2005) Corporate venture capital in the context of corporate innovation, , EPFL Working Paper Lausanne;Christensen, C., (1997) The Innovator's Dilemma, , Harvard Business School Press, Cambridge (MA);Christensen, C.M., Bower, J., Customer power, strategic investment, and the failure of leading firms (1996) Strategic Management Journal, 17 (3), pp. 197-218;Clarysse, B., Wright, M., Lockett, A., Van de Velde, E., Vohora, A., Spinning out new ventures: a typology of incubation strategies from European research institutions (2005) Journal of Business Venturing, 20 (2), pp. 183-216;Cohen, W.M., Levinthal, D.A., Absorptive capacity: a new perspective on learning and innovation (1990) Administrative Science Quarterly, 35 (1), pp. 128-152;Coriat, B., Weinstein, O., National institutional frameworks, institutional complementarities and sectoral systems of innovation (2004) Sectoral Systems of Innovation: Concepts, Issues and Analyses of Six Major Sectors in Europe, , Malerba F. (Ed), Cambridge University Press, Cambridge;Debackere, K., Managing academic R&amp;D as a business at K.U. Leuven: context, structure and process (2000) R&amp;D Management, 30 (4), pp. 323-328;Debackere, K., Veugelers, R., The role of academic technology transfer organizations in improving industry science links (2005) Research Policy, 34 (3), pp. 321-342;Denyer, D., Tranfield, D., Van Aken, J.E., Developing design propositions through research synthesis (2008) Organization Studies, 29 (3), pp. 393-413;Di Gregorio, D., Shane, S., Why do some universities generate more start-ups than others? (2003) Research Policy, 32 (2), pp. 209-227;Djokovic, D., Souitaris, V., Spinouts from academic institutions: a literature review with suggestions for further research (2008) Journal of Technology Transfer, 33 (3), pp. 225-247;Dosi, G., Freeman, C., Nelson, R.R., Silverberg, G., Soete, L., (1988) Technical Change and Economic Theory, , Pinter, London;Dushnitsky, G., Lenox, M.J., When do firms undertake R&amp;D by investing in new ventures? (2005) Strategic Management Journal, 26 (10), pp. 947-965;Etzkowitz, H., Klofsten, M., The innovating region: toward a theory of knowledge-based regional development (2005) R&amp;D Management, 35 (3), pp. 243-255;Friedman, J., Silberman, J., University technology transfer: do incentives, management, and location matter? (2003) Journal of Technology Transfer, 28 (1), pp. 17-30;Gans, J.S., Stern, S., The product market and the market for \"ideas\": commercialization strategies for technology entrepreneurs (2003) Research Policy, 32 (2), pp. 333-350;Gilsing, V., Nooteboom, B., Exploration and exploitation in innovation systems: the case of pharmaceutical biotechnology (2006) Research Policy, 35 (1), pp. 1-23;Grimaldi, R., Grandi, A., Business incubators and new venture creation: an assessment of incubating models (2005) Technovation, 25 (2), pp. 111-121;Groenewegen, J., van der Steen, M., The evolution of national innovation systems (2006) Journal of Economic Issues, 40 (2), pp. 277-285;Hackett, S.M., Dilts, D.M., A systematic review of business incubation research (2004) Journal of Technology Transfer, 29 (1), pp. 55-82;Hellman, T., (1996) A theory of corporate investing, , Stanford Working Paper;Hindle, K., Yencken, J., Public research commercialisation, entrepreneurship and new technology based firms: an integrated model (2004) Technovation, 24 (10), pp. 793-803;Hollanders, H., European regional innovation scoreboard (2006) European Trend Chart on Innovation 2006;Johnson, W.H.A., Roles, resources and benefits of intermediate organizations supporting triple helix collaborative R&amp;D: the case of Precarn (2008) Technovation, 28 (8), pp. 495-505;Katila, R., Mang, P.Y., Exploiting technological opportunities: the timing of collaborations (2003) Research Policy, 32 (2), pp. 317-332;Keil, T., (2002) External Corporate Venturing: Strategic Renewal in Rapidly Changing Industries, , Quorum Books, Westport (CT);Kirwan, P., van der Sijde, P., Groen, A., Assessing the needs of new technology based firms (NTBFs): an investigation among spin-off companies from six European Universities (2006) The International Entrepreneurship and Management Journal, 2 (2), pp. 173-187;Lecocq, C., Van Looy, B., Zimmermann, E., Developing the support infrastructure of technology transfer offices to accommodate the needs of global spin-off companies (outline of a methodology applied within the GlobalStart project) (2008) International Journal of Globalisation and Small Business, , forthcoming;Levinthal, D.A., March, J.G., The myopia of learning (1993) Strategic Management Journal, 14, pp. 95-112;Lockett, A., Siegel, D., Wright, M., Ensley, M.D., The creation of spin-off firms at public research institutions: managerial and policy implications (2005) Research Policy, 34 (7), pp. 981-993;Lockett, A., Wright, M., Resources, capabilities, risk capital and the creation of university spin-out companies (2005) Research Policy, 34 (7), pp. 1043-1057;Lofsten, H., Lindelof, P., R&amp;D networks and product innovation patterns: academic and non-academic new technology-based firms on Science Parks (2005) Technovation, 25 (9), pp. 1025-1037;Marsili, O., (2001) The Anatomy and Evolution of Industries, Technological Change and Industrial Dynamics, , Edward Elgar, Cheltenham;Meyer, M., Academic entrepreneurs or entrepreneurial academics? Research-based ventures and public support mechanisms (2003) R&amp;D Management, 33 (2), pp. 107-115;Mowery, D.C., Nelson, R.R., Sampat, B.N., Ziedonis, A.A., (2004) Ivory Tower and Industrial Innovation: University-Industry Technology Transfer Before and After the Bayh-Dole Act, , Stanford Business Books, Stanford;Nelson, R.N., Observations on the post Bayh-Dole rising of patenting at American universities (2001) Journal of Technology Transfer, 26, pp. 13-19;Nooteboom, B., (2000) Learning and Innovation in Organizations and Economics, , Oxford University Press, Oxford;O'Gorman, C., Stimulating high-tech venture creation (2003) R&amp;D Management, 33 (2), pp. 177-187;O'Shea, R., Allen, T.J., O'Gorman, C., Roche, F., Universities and technology transfer: a review of academic entrepreneurship literature (2004) Irish Journal of Management, 25 (2), pp. 11-29;Parhankangas, A., Arenius, P., From a corporate venture to an independent company: a base for a taxonomy for corporate spin-off firms (2003) Research Policy, 32 (3), pp. 463-481;Pavitt, K., Sectoral patterns of technical change: towards a taxonomy and a theory (1984) Research Policy, 13 (6), pp. 343-373;Phan, P.H., Siegel, D.S., Wright, M., Science parks and incubators: observations, synthesis and future research (2005) Journal of Business Venturing, 20 (2), pp. 165-182;Polt, W., Benchmarking industry science relations: The role of framework conditions (2001), Final Report Prepared for EC, DG EnterprisePowers, J.B., McDougall, P.P., University start-up formation and technology licensing with firms that go public: a resource-based view of academic entrepreneurship (2005) Journal of Business Venturing, 20 (3), pp. 291-311;Rasmussen, E., Government instruments to support the commercialization of university research: lessons from Canada (2008) Technovation, 28 (8), pp. 506-517;Rasmussen, E., Moen, \u00c3\u02dc., Gulbrandsen, M., Initiatives to promote commercialization of university knowledge (2006) Technovation, 26 (4), pp. 518-533;Roberts, E.B., Malone, D.E., Policies and structures for spinning off new companies from research and development organizations (1996) R&amp;D Management, 26 (1), pp. 17-48;Romme, A.G.L., Making a difference: organization as design (2003) Organization Science, 14 (5), pp. 558-573;Romme, A.G.L., Endenburg, G., Construction principles and design rules in the case of circular design (2006) Organization Science, 17 (2), pp. 287-297;Rothaermel, F.T., Incumbent's advantage through exploiting complementary assets via interfirm cooperation (2001) Strategic Management Journal, 22 (6-7), p. 687;Rothaermel, F.T., Agung, S.D., Jiang, L., University entrepreneurship: a taxonomy of the literature (2007) Industrial and Corporate Change, 16 (4), pp. 691-791;Saxenian, A., (1996) Regional Advantage: Culture and Competition in Silicon Valley and Route 128, , Harvard University Press, Cambridge, MA;Shane, S., Technology regimes and new firm formation (2001) Management Science, 47 (9), pp. 1173-1190;Shane, S., Selling university technology: patterns from MIT (2002) Management Science, 48 (1), pp. 122-137;Shane, S., (2004) Academic Entrepreneurship: University Spin-Offs and Wealth Creation, , Edward Elgar, Cheltenham and Northampton, MA;Shane, S., Venkataraman, S., Guest editors' introduction to the special issue on technology entrepreneurship (2003) Research Policy, 32 (2), pp. 181-184;Siegel, R., Siegel, E., MacMillan, I.C., Corporate venture capitalists: autonomy, obstacles, and performance (1988) Journal of Business Venturing, 3 (3), pp. 233-247;Stuart, T., Sorenson, O., The geography of opportunity: spatial heterogeneity in founding rates and the performance of biotechnology firms (2003) Research Policy, 32 (2), pp. 229-253;Teece, D.J., Profiting from technological innovation: implications for integration, collaboration, licensing and public policy (1986) Research Policy, 15 (6), pp. 285-305;Tripsas, M., Unraveling the process of creative destruction: complementary assets and incumbent survival in the typesetter industry (1997) Strategic Management Journal, 18, pp. 119-142;T\u00c3\u00bcbke, A., (2005) Success Factors of Corporate Spin-Offs, , Springer, New York;Van Aken, J.E., Management research based on the paradigm of the design sciences: the quest for field-tested and grounded technological rules (2004) Journal of Management Studies, 41 (2), pp. 219-246;Van Burg, E., Romme, A.G.L., Gilsing, V.A., Reymen, I.M.M.J., Creating university spin-offs: a science-based design perspective (2008) Journal of Product Innovation Management, 25 (2), pp. 114-128;Van Looy, B., Ranga, M., Callaert, J., Debackere, K., Zimmermann, E., Combining entrepreneurial and scientific performance in academia: towards a compounded and reciprocal Matthew-effect? (2004) Research Policy, 33 (3), pp. 425-441;Vedovello, C., Science parks and university-industry interaction: geographical proximity between the agents as a driving force (1997) Technovation, 17 (9), pp. 491-502;Vohora, A., Wright, M., Lockett, A., Critical junctures in the development of university high-tech spinout companies (2004) Research Policy, 33 (1), pp. 147-175;Von Hippel, E., Successful and failing internal corporate ventures: an empirical analysis (1977) Industrial Marketing Management, 6 (3), pp. 163-174;Wallin, M.W., Lindholm Dahlstrand, A., Sponsored spin-offs, industrial growth and change (2006) Technovation, 26 (5-6), pp. 611-620;Wright, M., Clarysse, B., Lockett, A., Knockaert, M., Mid-range universities' linkages with industry: knowledge types and the role of intermediaries (2008) Research Policy, 37 (8), pp. 1205-1223;Zahra, S.A., Van de Velde, E., Larraneta, B., Knowledge conversion capability and the performance of corporate and university spin-offs (2007) Industrial and Corporate Change, 16 (4), pp. 569-608;Zucker, L.G., Darby, M.R., Brewer, M.B., Intellectual human capital and the birth of US biotechnology enterprises (1998) American Economic Review, 88 (1), pp. 290-306\n        \n                  \nFrom Duplicate 4 (                           Policy principles for the creation and success of corporate and academic spin-offs                         - Gilsing, V.A.; van Burg, E.; Romme, A.G.L. )\n                \nCited By (since 1996): 4\n----------\nSource: Scopus\n----------\nExport Date: 18 March 2011\n----------\nFollowing a design science approach, this paper develops a framework of policy design principles for fostering technology entrepreneurship in a region. These principles are grounded in research findings and describe the factors and causal mechanisms that explain the founding and success rates of both corporate and academic spin-offs. We differentiate between principles that serve the creation of spin-offs versus those focusing on their subsequent chances of success. We provide an in-depth empirical application of this framework to spin-off policy in the regions of Eindhoven and Leuven. This application of the framework serves to assess the extent to which standing spin-off policy in both regions is (1) up-to-date, (2) comprehensive as well as (3) sufficiently robust against 'policy fashions'. Several directions for redesigning spin-off policy follow from this assessment. \u00c2\u00a9 2009 Elsevier Ltd. All rights reserved.\n        \n                  \nFrom Duplicate 7 (                           Policy principles for the creation and success of corporate and academic spin-offs                         - Gilsing, V.A.; van Burg, E.; Romme, A.G.L. )\n                \nExport Date: 18 March 2011\n----------\nSource: Scopus\n----------\nFollowing a design science approach, this paper develops a framework of policy design principles for fostering technology entrepreneurship in a region. These principles are grounded in research findings and describe the factors and causal mechanisms that explain the founding and success rates of both corporate and academic spin-offs. We differentiate between principles that serve the creation of spin-offs versus those focusing on their subsequent chances of success. We provide an in-depth empirical application of this framework to spin-off policy in the regions of Eindhoven and Leuven. This application of the framework serves to assess the extent to which standing spin-off policy in both regions is (1) up-to-date, (2) comprehensive as well as (3) sufficiently robust against 'policy fashions'. Several directions for redesigning spin-off policy follow from this assessment. \u00c2\u00a9 2009 Elsevier Ltd. All rights reserved.\n----------\nCited By (since 1996): 4\n----------\nReferences: Aldrich, H.E., Fiol, C.M., Fools rush in? The institutional context of industry creation (1994) Academy of Management Review, 19 (4), pp. 645-670;Anton, J.J., Yao, D.A., Start-ups, spin-offs, and internal projects (1995) Journal of Law, Economics, and Organization, 11 (2), pp. 362-378;Asheim, B.T., Coenen, L., Knowledge bases and regional innovation systems: comparing Nordic clusters (2005) Research Policy, 34 (8), pp. 1173-1190;Asheim, B.T., Gertler, M.S., The geography of innovation: regional innovation systems (2005) The Oxford Handbook of Innovation, pp. 291-317. , Fagerberg J., Mowery D.C., and Nelson R.R. (Eds), Oxford University Press, Oxford;Audretsch, D.B., Stephan, P.E., Company-scientist locational links: the case of biotechnology (1996) The American Economic Review, 86 (3), pp. 641-652;Bekkers, R., Gilsing, V., van der Steen, M., Determining factors of the effectiveness of IP-based spin-offs: comparing the Netherlands and the US (2006) Journal of Technology Transfer, 31 (5), pp. 545-566;Bergek, A., Norrman, C., Incubator best practice: a framework (2008) Technovation, 28 (1-2), pp. 20-28;Bower, D.J., Business model fashion and the academic spinout firm (2003) R&amp;D Management, 33 (2), pp. 97-106;Breschi, S., Malerba, F., Sectoral innovation systems: technological regimes, Schumpetarian dynamics and spatial boundaries (1997) Systems of Innovation, Technologies, Institutions and Organizations, , Edquist C. (Ed), Pinter, London;Chesbrough, H., (2003) Open innovation: the new imperative for creating and profiting from technology, , Harvard Business School Press, Harvard (MA);Chesbrough, H., Tucci, C.L., (2005) Corporate venture capital in the context of corporate innovation, , EPFL Working Paper Lausanne;Christensen, C., (1997) The Innovator's Dilemma, , Harvard Business School Press, Cambridge (MA);Christensen, C.M., Bower, J., Customer power, strategic investment, and the failure of leading firms (1996) Strategic Management Journal, 17 (3), pp. 197-218;Clarysse, B., Wright, M., Lockett, A., Van de Velde, E., Vohora, A., Spinning out new ventures: a typology of incubation strategies from European research institutions (2005) Journal of Business Venturing, 20 (2), pp. 183-216;Cohen, W.M., Levinthal, D.A., Absorptive capacity: a new perspective on learning and innovation (1990) Administrative Science Quarterly, 35 (1), pp. 128-152;Coriat, B., Weinstein, O., National institutional frameworks, institutional complementarities and sectoral systems of innovation (2004) Sectoral Systems of Innovation: Concepts, Issues and Analyses of Six Major Sectors in Europe, , Malerba F. (Ed), Cambridge University Press, Cambridge;Debackere, K., Managing academic R&amp;D as a business at K.U. Leuven: context, structure and process (2000) R&amp;D Management, 30 (4), pp. 323-328;Debackere, K., Veugelers, R., The role of academic technology transfer organizations in improving industry science links (2005) Research Policy, 34 (3), pp. 321-342;Denyer, D., Tranfield, D., Van Aken, J.E., Developing design propositions through research synthesis (2008) Organization Studies, 29 (3), pp. 393-413;Di Gregorio, D., Shane, S., Why do some universities generate more start-ups than others? (2003) Research Policy, 32 (2), pp. 209-227;Djokovic, D., Souitaris, V., Spinouts from academic institutions: a literature review with suggestions for further research (2008) Journal of Technology Transfer, 33 (3), pp. 225-247;Dosi, G., Freeman, C., Nelson, R.R., Silverberg, G., Soete, L., (1988) Technical Change and Economic Theory, , Pinter, London;Dushnitsky, G., Lenox, M.J., When do firms undertake R&amp;D by investing in new ventures? (2005) Strategic Management Journal, 26 (10), pp. 947-965;Etzkowitz, H., Klofsten, M., The innovating region: toward a theory of knowledge-based regional development (2005) R&amp;D Management, 35 (3), pp. 243-255;Friedman, J., Silberman, J., University technology transfer: do incentives, management, and location matter? (2003) Journal of Technology Transfer, 28 (1), pp. 17-30;Gans, J.S., Stern, S., The product market and the market for \"ideas\": commercialization strategies for technology entrepreneurs (2003) Research Policy, 32 (2), pp. 333-350;Gilsing, V., Nooteboom, B., Exploration and exploitation in innovation systems: the case of pharmaceutical biotechnology (2006) Research Policy, 35 (1), pp. 1-23;Grimaldi, R., Grandi, A., Business incubators and new venture creation: an assessment of incubating models (2005) Technovation, 25 (2), pp. 111-121;Groenewegen, J., van der Steen, M., The evolution of national innovation systems (2006) Journal of Economic Issues, 40 (2), pp. 277-285;Hackett, S.M., Dilts, D.M., A systematic review of business incubation research (2004) Journal of Technology Transfer, 29 (1), pp. 55-82;Hellman, T., (1996) A theory of corporate investing, , Stanford Working Paper;Hindle, K., Yencken, J., Public research commercialisation, entrepreneurship and new technology based firms: an integrated model (2004) Technovation, 24 (10), pp. 793-803;Hollanders, H., European regional innovation scoreboard (2006) European Trend Chart on Innovation 2006;Johnson, W.H.A., Roles, resources and benefits of intermediate organizations supporting triple helix collaborative R&amp;D: the case of Precarn (2008) Technovation, 28 (8), pp. 495-505;Katila, R., Mang, P.Y., Exploiting technological opportunities: the timing of collaborations (2003) Research Policy, 32 (2), pp. 317-332;Keil, T., (2002) External Corporate Venturing: Strategic Renewal in Rapidly Changing Industries, , Quorum Books, Westport (CT);Kirwan, P., van der Sijde, P., Groen, A., Assessing the needs of new technology based firms (NTBFs): an investigation among spin-off companies from six European Universities (2006) The International Entrepreneurship and Management Journal, 2 (2), pp. 173-187;Lecocq, C., Van Looy, B., Zimmermann, E., Developing the support infrastructure of technology transfer offices to accommodate the needs of global spin-off companies (outline of a methodology applied within the GlobalStart project) (2008) International Journal of Globalisation and Small Business, , forthcoming;Levinthal, D.A., March, J.G., The myopia of learning (1993) Strategic Management Journal, 14, pp. 95-112;Lockett, A., Siegel, D., Wright, M., Ensley, M.D., The creation of spin-off firms at public research institutions: managerial and policy implications (2005) Research Policy, 34 (7), pp. 981-993;Lockett, A., Wright, M., Resources, capabilities, risk capital and the creation of university spin-out companies (2005) Research Policy, 34 (7), pp. 1043-1057;Lofsten, H., Lindelof, P., R&amp;D networks and product innovation patterns: academic and non-academic new technology-based firms on Science Parks (2005) Technovation, 25 (9), pp. 1025-1037;Marsili, O., (2001) The Anatomy and Evolution of Industries, Technological Change and Industrial Dynamics, , Edward Elgar, Cheltenham;Meyer, M., Academic entrepreneurs or entrepreneurial academics? Research-based ventures and public support mechanisms (2003) R&amp;D Management, 33 (2), pp. 107-115;Mowery, D.C., Nelson, R.R., Sampat, B.N., Ziedonis, A.A., (2004) Ivory Tower and Industrial Innovation: University-Industry Technology Transfer Before and After the Bayh-Dole Act, , Stanford Business Books, Stanford;Nelson, R.N., Observations on the post Bayh-Dole rising of patenting at American universities (2001) Journal of Technology Transfer, 26, pp. 13-19;Nooteboom, B., (2000) Learning and Innovation in Organizations and Economics, , Oxford University Press, Oxford;O'Gorman, C., Stimulating high-tech venture creation (2003) R&amp;D Management, 33 (2), pp. 177-187;O'Shea, R., Allen, T.J., O'Gorman, C., Roche, F., Universities and technology transfer: a review of academic entrepreneurship literature (2004) Irish Journal of Management, 25 (2), pp. 11-29;Parhankangas, A., Arenius, P., From a corporate venture to an independent company: a base for a taxonomy for corporate spin-off firms (2003) Research Policy, 32 (3), pp. 463-481;Pavitt, K., Sectoral patterns of technical change: towards a taxonomy and a theory (1984) Research Policy, 13 (6), pp. 343-373;Phan, P.H., Siegel, D.S., Wright, M., Science parks and incubators: observations, synthesis and future research (2005) Journal of Business Venturing, 20 (2), pp. 165-182;Polt, W., Benchmarking industry science relations: The role of framework conditions (2001), Final Report Prepared for EC, DG EnterprisePowers, J.B., McDougall, P.P., University start-up formation and technology licensing with firms that go public: a resource-based view of academic entrepreneurship (2005) Journal of Business Venturing, 20 (3), pp. 291-311;Rasmussen, E., Government instruments to support the commercialization of university research: lessons from Canada (2008) Technovation, 28 (8), pp. 506-517;Rasmussen, E., Moen, \u00c3\u02dc., Gulbrandsen, M., Initiatives to promote commercialization of university knowledge (2006) Technovation, 26 (4), pp. 518-533;Roberts, E.B., Malone, D.E., Policies and structures for spinning off new companies from research and development organizations (1996) R&amp;D Management, 26 (1), pp. 17-48;Romme, A.G.L., Making a difference: organization as design (2003) Organization Science, 14 (5), pp. 558-573;Romme, A.G.L., Endenburg, G., Construction principles and design rules in the case of circular design (2006) Organization Science, 17 (2), pp. 287-297;Rothaermel, F.T., Incumbent's advantage through exploiting complementary assets via interfirm cooperation (2001) Strategic Management Journal, 22 (6-7), p. 687;Rothaermel, F.T., Agung, S.D., Jiang, L., University entrepreneurship: a taxonomy of the literature (2007) Industrial and Corporate Change, 16 (4), pp. 691-791;Saxenian, A., (1996) Regional Advantage: Culture and Competition in Silicon Valley and Route 128, , Harvard University Press, Cambridge, MA;Shane, S., Technology regimes and new firm formation (2001) Management Science, 47 (9), pp. 1173-1190;Shane, S., Selling university technology: patterns from MIT (2002) Management Science, 48 (1), pp. 122-137;Shane, S., (2004) Academic Entrepreneurship: University Spin-Offs and Wealth Creation, , Edward Elgar, Cheltenham and Northampton, MA;Shane, S., Venkataraman, S., Guest editors' introduction to the special issue on technology entrepreneurship (2003) Research Policy, 32 (2), pp. 181-184;Siegel, R., Siegel, E., MacMillan, I.C., Corporate venture capitalists: autonomy, obstacles, and performance (1988) Journal of Business Venturing, 3 (3), pp. 233-247;Stuart, T., Sorenson, O., The geography of opportunity: spatial heterogeneity in founding rates and the performance of biotechnology firms (2003) Research Policy, 32 (2), pp. 229-253;Teece, D.J., Profiting from technological innovation: implications for integration, collaboration, licensing and public policy (1986) Research Policy, 15 (6), pp. 285-305;Tripsas, M., Unraveling the process of creative destruction: complementary assets and incumbent survival in the typesetter industry (1997) Strategic Management Journal, 18, pp. 119-142;T\u00c3\u00bcbke, A., (2005) Success Factors of Corporate Spin-Offs, , Springer, New York;Van Aken, J.E., Management research based on the paradigm of the design sciences: the quest for field-tested and grounded technological rules (2004) Journal of Management Studies, 41 (2), pp. 219-246;Van Burg, E., Romme, A.G.L., Gilsing, V.A., Reymen, I.M.M.J., Creating university spin-offs: a science-based design perspective (2008) Journal of Product Innovation Management, 25 (2), pp. 114-128;Van Looy, B., Ranga, M., Callaert, J., Debackere, K., Zimmermann, E., Combining entrepreneurial and scientific performance in academia: towards a compounded and reciprocal Matthew-effect? (2004) Research Policy, 33 (3), pp. 425-441;Vedovello, C., Science parks and university-industry interaction: geographical proximity between the agents as a driving force (1997) Technovation, 17 (9), pp. 491-502;Vohora, A., Wright, M., Lockett, A., Critical junctures in the development of university high-tech spinout companies (2004) Research Policy, 33 (1), pp. 147-175;Von Hippel, E., Successful and failing internal corporate ventures: an empirical analysis (1977) Industrial Marketing Management, 6 (3), pp. 163-174;Wallin, M.W., Lindholm Dahlstrand, A., Sponsored spin-offs, industrial growth and change (2006) Technovation, 26 (5-6), pp. 611-620;Wright, M., Clarysse, B., Lockett, A., Knockaert, M., Mid-range universities' linkages with industry: knowledge types and the role of intermediaries (2008) Research Policy, 37 (8), pp. 1205-1223;Zahra, S.A., Van de Velde, E., Larraneta, B., Knowledge conversion capability and the performance of corporate and university spin-offs (2007) Industrial and Corporate Change, 16 (4), pp. 569-608;Zucker, L.G., Darby, M.R., Brewer, M.B., Intellectual human capital and the birth of US biotechnology enterprises (1998) American Economic Review, 88 (1), pp. 290-306\n        \n      ", "page" : "12-23", "publisher" : "Elsevier", "title" : "Policy principles for the creation and success of corporate and academic spin-offs", "type" : "article-journal", "volume" : "30" }, "uris" : [ "http://www.mendeley.com/documents/?uuid=e65f5205-fa74-494f-9030-3334ff899393" ] } ], "mendeley" : { "previouslyFormattedCitation" : "(Gilsing, van Burg, &amp; Romme, 2010; Shane, 2004)" }, "properties" : { "noteIndex" : 0 }, "schema" : "https://github.com/citation-style-language/schema/raw/master/csl-citation.json" }</w:instrText>
      </w:r>
      <w:r w:rsidR="003B0D24" w:rsidRPr="005D10C1">
        <w:rPr>
          <w:rFonts w:ascii="Candara" w:hAnsi="Candara" w:cs="Arial"/>
        </w:rPr>
        <w:fldChar w:fldCharType="separate"/>
      </w:r>
      <w:r w:rsidR="00220584" w:rsidRPr="005D10C1">
        <w:rPr>
          <w:rFonts w:ascii="Candara" w:hAnsi="Candara" w:cs="Arial"/>
          <w:noProof/>
        </w:rPr>
        <w:t>(Gilsing, van Burg, &amp; Romme, 2010; Shane, 2004)</w:t>
      </w:r>
      <w:r w:rsidR="003B0D24" w:rsidRPr="005D10C1">
        <w:rPr>
          <w:rFonts w:ascii="Candara" w:hAnsi="Candara" w:cs="Arial"/>
        </w:rPr>
        <w:fldChar w:fldCharType="end"/>
      </w:r>
      <w:r w:rsidR="00040360" w:rsidRPr="005D10C1">
        <w:rPr>
          <w:rFonts w:ascii="Candara" w:hAnsi="Candara" w:cs="Arial"/>
        </w:rPr>
        <w:t xml:space="preserve">, la gestión o administración implementada </w:t>
      </w:r>
      <w:r w:rsidR="003B0D24" w:rsidRPr="005D10C1">
        <w:rPr>
          <w:rFonts w:ascii="Candara" w:hAnsi="Candara" w:cs="Arial"/>
        </w:rPr>
        <w:fldChar w:fldCharType="begin" w:fldLock="1"/>
      </w:r>
      <w:r w:rsidR="00CA1A09" w:rsidRPr="005D10C1">
        <w:rPr>
          <w:rFonts w:ascii="Candara" w:hAnsi="Candara" w:cs="Arial"/>
        </w:rPr>
        <w:instrText>ADDIN CSL_CITATION { "citationItems" : [ { "id" : "ITEM-1", "itemData" : { "DOI" : "10.1016/j.jbusvent.2005.02.005", "ISSN" : "08839026", "author" : [ { "dropping-particle" : "", "family" : "Walter", "given" : "A.", "non-dropping-particle" : "", "parse-names" : false, "suffix" : "" }, { "dropping-particle" : "", "family" : "Auer", "given" : "M.", "non-dropping-particle" : "", "parse-names" : false, "suffix" : "" }, { "dropping-particle" : "", "family" : "Ritter", "given" : "T.", "non-dropping-particle" : "", "parse-names" : false, "suffix" : "" } ], "container-title" : "Journal of Business Venturing", "id" : "ITEM-1", "issue" : "4", "issued" : { "date-parts" : [ [ "2006", "7" ] ] }, "page" : "541-567", "title" : "The impact of network capabilities and entrepreneurial orientation on university spin-off performance", "type" : "article-journal", "volume" : "21" }, "uris" : [ "http://www.mendeley.com/documents/?uuid=6a5349fe-6def-4cd6-ab5f-c3c9935217a8" ] }, { "id" : "ITEM-2", "itemData" : { "DOI" : "10.1016/j.technovation.2007.05.002", "ISSN" : "01664972", "author" : [ { "dropping-particle" : "", "family" : "Kroll", "given" : "H", "non-dropping-particle" : "", "parse-names" : false, "suffix" : "" }, { "dropping-particle" : "", "family" : "Liefner", "given" : "I", "non-dropping-particle" : "", "parse-names" : false, "suffix" : "" } ], "container-title" : "Technovation", "id" : "ITEM-2", "issue" : "5", "issued" : { "date-parts" : [ [ "2008", "5" ] ] }, "page" : "298-313", "title" : "Spin-off enterprises as a means of technology commercialisation in a transforming economy\u2014Evidence from three universities in China", "type" : "article-journal", "volume" : "28" }, "uris" : [ "http://www.mendeley.com/documents/?uuid=17f68b70-2801-42e7-b6a7-19301c11adf6" ] }, { "id" : "ITEM-3", "itemData" : { "DOI" : "10.1016/j.technovation.2009.05.009", "ISSN" : "01664972", "author" : [ { "dropping-particle" : "", "family" : "Geenhuizen", "given" : "Marina", "non-dropping-particle" : "van", "parse-names" : false, "suffix" : "" }, { "dropping-particle" : "", "family" : "Soetanto", "given" : "Danny P.", "non-dropping-particle" : "", "parse-names" : false, "suffix" : "" } ], "container-title" : "Technovation", "id" : "ITEM-3", "issue" : "10", "issued" : { "date-parts" : [ [ "2009", "10" ] ] }, "page" : "671-681", "publisher" : "Elsevier", "title" : "Academic spin-offs at different ages: A case study in search of key obstacles to growth", "type" : "article-journal", "volume" : "29" }, "uris" : [ "http://www.mendeley.com/documents/?uuid=9c0c29a6-8e2b-46ad-94c8-9af7b4615049" ] } ], "mendeley" : { "previouslyFormattedCitation" : "(Kroll &amp; Liefner, 2008; van Geenhuizen &amp; Soetanto, 2009; Walter et al., 2006)" }, "properties" : { "noteIndex" : 0 }, "schema" : "https://github.com/citation-style-language/schema/raw/master/csl-citation.json" }</w:instrText>
      </w:r>
      <w:r w:rsidR="003B0D24" w:rsidRPr="005D10C1">
        <w:rPr>
          <w:rFonts w:ascii="Candara" w:hAnsi="Candara" w:cs="Arial"/>
        </w:rPr>
        <w:fldChar w:fldCharType="separate"/>
      </w:r>
      <w:r w:rsidR="00040360" w:rsidRPr="005D10C1">
        <w:rPr>
          <w:rFonts w:ascii="Candara" w:hAnsi="Candara" w:cs="Arial"/>
          <w:noProof/>
        </w:rPr>
        <w:t>(Kroll &amp; Liefner, 2008; van Geenhuizen &amp; Soetanto, 2009; Walter et al., 2006)</w:t>
      </w:r>
      <w:r w:rsidR="003B0D24" w:rsidRPr="005D10C1">
        <w:rPr>
          <w:rFonts w:ascii="Candara" w:hAnsi="Candara" w:cs="Arial"/>
        </w:rPr>
        <w:fldChar w:fldCharType="end"/>
      </w:r>
      <w:r w:rsidR="00040360" w:rsidRPr="005D10C1">
        <w:rPr>
          <w:rFonts w:ascii="Candara" w:hAnsi="Candara" w:cs="Arial"/>
        </w:rPr>
        <w:t xml:space="preserve"> y los productos desarrollados </w:t>
      </w:r>
      <w:r w:rsidR="003B0D24" w:rsidRPr="005D10C1">
        <w:rPr>
          <w:rFonts w:ascii="Candara" w:hAnsi="Candara" w:cs="Arial"/>
        </w:rPr>
        <w:fldChar w:fldCharType="begin" w:fldLock="1"/>
      </w:r>
      <w:r w:rsidR="00CA1A09" w:rsidRPr="005D10C1">
        <w:rPr>
          <w:rFonts w:ascii="Candara" w:hAnsi="Candara" w:cs="Arial"/>
        </w:rPr>
        <w:instrText>ADDIN CSL_CITATION { "citationItems" : [ { "id" : "ITEM-1", "itemData" : { "DOI" : "10.1109/IEMC.2005.1559223", "ISBN" : "0-7803-9139-X", "author" : [ { "dropping-particle" : "", "family" : "Muegge", "given" : "S.", "non-dropping-particle" : "", "parse-names" : false, "suffix" : "" }, { "dropping-particle" : "", "family" : "Sharma", "given" : "M.", "non-dropping-particle" : "", "parse-names" : false, "suffix" : "" }, { "dropping-particle" : "", "family" : "Kumar", "given" : "U.", "non-dropping-particle" : "", "parse-names" : false, "suffix" : "" } ], "container-title" : "Proceedings. 2005 IEEE International Engineering Management Conference, 2005.", "id" : "ITEM-1", "issued" : { "date-parts" : [ [ "2005" ] ] }, "page" : "626-631", "publisher" : "Ieee", "title" : "An exploratory study of new product development at small university spin-offs", "type" : "article-journal", "volume" : "2" }, "uris" : [ "http://www.mendeley.com/documents/?uuid=45b06f57-f640-4462-a7e7-df84543a8119" ] } ], "mendeley" : { "previouslyFormattedCitation" : "(Muegge et al., 2005)" }, "properties" : { "noteIndex" : 0 }, "schema" : "https://github.com/citation-style-language/schema/raw/master/csl-citation.json" }</w:instrText>
      </w:r>
      <w:r w:rsidR="003B0D24" w:rsidRPr="005D10C1">
        <w:rPr>
          <w:rFonts w:ascii="Candara" w:hAnsi="Candara" w:cs="Arial"/>
        </w:rPr>
        <w:fldChar w:fldCharType="separate"/>
      </w:r>
      <w:r w:rsidR="00A16CA6" w:rsidRPr="005D10C1">
        <w:rPr>
          <w:rFonts w:ascii="Candara" w:hAnsi="Candara" w:cs="Arial"/>
          <w:noProof/>
        </w:rPr>
        <w:t>(Muegge et al., 2005)</w:t>
      </w:r>
      <w:r w:rsidR="003B0D24" w:rsidRPr="005D10C1">
        <w:rPr>
          <w:rFonts w:ascii="Candara" w:hAnsi="Candara" w:cs="Arial"/>
        </w:rPr>
        <w:fldChar w:fldCharType="end"/>
      </w:r>
      <w:r w:rsidR="0083300F" w:rsidRPr="005D10C1">
        <w:rPr>
          <w:rFonts w:ascii="Candara" w:hAnsi="Candara" w:cs="Arial"/>
        </w:rPr>
        <w:t>, entre otros</w:t>
      </w:r>
      <w:r w:rsidR="00040360" w:rsidRPr="005D10C1">
        <w:rPr>
          <w:rFonts w:ascii="Candara" w:hAnsi="Candara" w:cs="Arial"/>
        </w:rPr>
        <w:t xml:space="preserve">. </w:t>
      </w:r>
    </w:p>
    <w:p w14:paraId="02F81BB4" w14:textId="77777777" w:rsidR="00040360" w:rsidRPr="005D10C1" w:rsidRDefault="00040360" w:rsidP="000A520D">
      <w:pPr>
        <w:pStyle w:val="Prrafodelista"/>
        <w:spacing w:line="360" w:lineRule="auto"/>
        <w:rPr>
          <w:rStyle w:val="Textoennegrita"/>
          <w:rFonts w:ascii="Candara" w:hAnsi="Candara" w:cstheme="minorHAnsi"/>
        </w:rPr>
      </w:pPr>
    </w:p>
    <w:p w14:paraId="034B89CF" w14:textId="77777777" w:rsidR="00040360" w:rsidRPr="005D10C1" w:rsidRDefault="00040360" w:rsidP="000A520D">
      <w:pPr>
        <w:spacing w:line="360" w:lineRule="auto"/>
        <w:rPr>
          <w:rFonts w:ascii="Candara" w:hAnsi="Candara" w:cs="Arial"/>
          <w:lang w:val="fr-FR"/>
        </w:rPr>
      </w:pPr>
      <w:r w:rsidRPr="005D10C1">
        <w:rPr>
          <w:rStyle w:val="Textoennegrita"/>
          <w:rFonts w:ascii="Candara" w:hAnsi="Candara" w:cstheme="minorHAnsi"/>
        </w:rPr>
        <w:t xml:space="preserve">En cuanto, al grupo de factores de </w:t>
      </w:r>
      <w:r w:rsidRPr="005D10C1">
        <w:rPr>
          <w:rStyle w:val="Textoennegrita"/>
          <w:rFonts w:ascii="Candara" w:hAnsi="Candara" w:cstheme="minorHAnsi"/>
          <w:b/>
        </w:rPr>
        <w:t>entorno institucional</w:t>
      </w:r>
      <w:r w:rsidRPr="005D10C1">
        <w:rPr>
          <w:rStyle w:val="Textoennegrita"/>
          <w:rFonts w:ascii="Candara" w:hAnsi="Candara" w:cstheme="minorHAnsi"/>
        </w:rPr>
        <w:t xml:space="preserve"> se identifican factores como el sistema de innovación y emprendimiento</w:t>
      </w:r>
      <w:r w:rsidR="00024969" w:rsidRPr="005D10C1">
        <w:rPr>
          <w:rStyle w:val="Textoennegrita"/>
          <w:rFonts w:ascii="Candara" w:hAnsi="Candara" w:cstheme="minorHAnsi"/>
        </w:rPr>
        <w:t xml:space="preserve"> </w:t>
      </w:r>
      <w:r w:rsidR="003B0D24" w:rsidRPr="005D10C1">
        <w:rPr>
          <w:rStyle w:val="Textoennegrita"/>
          <w:rFonts w:ascii="Candara" w:hAnsi="Candara" w:cstheme="minorHAnsi"/>
        </w:rPr>
        <w:fldChar w:fldCharType="begin" w:fldLock="1"/>
      </w:r>
      <w:r w:rsidR="00CA1A09" w:rsidRPr="005D10C1">
        <w:rPr>
          <w:rStyle w:val="Textoennegrita"/>
          <w:rFonts w:ascii="Candara" w:hAnsi="Candara" w:cstheme="minorHAnsi"/>
        </w:rPr>
        <w:instrText>ADDIN CSL_CITATION { "citationItems" : [ { "id" : "ITEM-1", "itemData" : { "DOI" : "10.1016/S0883-9026(98)00006-8", "ISSN" : "08839026", "author" : [ { "dropping-particle" : "", "family" : "Steffensen", "given" : "M", "non-dropping-particle" : "", "parse-names" : false, "suffix" : "" }, { "dropping-particle" : "", "family" : "Rogers", "given" : "Everett", "non-dropping-particle" : "", "parse-names" : false, "suffix" : "" }, { "dropping-particle" : "", "family" : "Speakman", "given" : "Kristen", "non-dropping-particle" : "", "parse-names" : false, "suffix" : "" } ], "container-title" : "Journal of Business Venturing", "id" : "ITEM-1", "issue" : "1", "issued" : { "date-parts" : [ [ "1999", "1", "2" ] ] }, "page" : "93-111", "title" : "Spin-offs from research centers at a research university", "type" : "article-journal", "volume" : "15" }, "uris" : [ "http://www.mendeley.com/documents/?uuid=30bc2d01-db53-482c-9fee-13c4207af044" ] } ], "mendeley" : { "previouslyFormattedCitation" : "(Steffensen, Rogers, &amp; Speakman, 1999)" }, "properties" : { "noteIndex" : 0 }, "schema" : "https://github.com/citation-style-language/schema/raw/master/csl-citation.json" }</w:instrText>
      </w:r>
      <w:r w:rsidR="003B0D24" w:rsidRPr="005D10C1">
        <w:rPr>
          <w:rStyle w:val="Textoennegrita"/>
          <w:rFonts w:ascii="Candara" w:hAnsi="Candara" w:cstheme="minorHAnsi"/>
        </w:rPr>
        <w:fldChar w:fldCharType="separate"/>
      </w:r>
      <w:r w:rsidR="00024969" w:rsidRPr="005D10C1">
        <w:rPr>
          <w:rStyle w:val="Textoennegrita"/>
          <w:rFonts w:ascii="Candara" w:hAnsi="Candara" w:cstheme="minorHAnsi"/>
          <w:noProof/>
        </w:rPr>
        <w:t>(Steffensen, Rogers, &amp; Speakman, 1999)</w:t>
      </w:r>
      <w:r w:rsidR="003B0D24" w:rsidRPr="005D10C1">
        <w:rPr>
          <w:rStyle w:val="Textoennegrita"/>
          <w:rFonts w:ascii="Candara" w:hAnsi="Candara" w:cstheme="minorHAnsi"/>
        </w:rPr>
        <w:fldChar w:fldCharType="end"/>
      </w:r>
      <w:r w:rsidRPr="005D10C1">
        <w:rPr>
          <w:rStyle w:val="Textoennegrita"/>
          <w:rFonts w:ascii="Candara" w:hAnsi="Candara" w:cstheme="minorHAnsi"/>
        </w:rPr>
        <w:t>, el apoyo de la universidad madre</w:t>
      </w:r>
      <w:r w:rsidR="0050738D" w:rsidRPr="005D10C1">
        <w:rPr>
          <w:rStyle w:val="Textoennegrita"/>
          <w:rFonts w:ascii="Candara" w:hAnsi="Candara" w:cstheme="minorHAnsi"/>
        </w:rPr>
        <w:t xml:space="preserve"> </w:t>
      </w:r>
      <w:r w:rsidR="003B0D24" w:rsidRPr="005D10C1">
        <w:rPr>
          <w:rStyle w:val="Textoennegrita"/>
          <w:rFonts w:ascii="Candara" w:hAnsi="Candara" w:cstheme="minorHAnsi"/>
        </w:rPr>
        <w:fldChar w:fldCharType="begin" w:fldLock="1"/>
      </w:r>
      <w:r w:rsidR="00CA1A09" w:rsidRPr="005D10C1">
        <w:rPr>
          <w:rStyle w:val="Textoennegrita"/>
          <w:rFonts w:ascii="Candara" w:hAnsi="Candara" w:cstheme="minorHAnsi"/>
        </w:rPr>
        <w:instrText>ADDIN CSL_CITATION { "citationItems" : [ { "id" : "ITEM-1", "itemData" : { "DOI" : "10.1016/S0883-9026(98)00006-8", "ISSN" : "08839026", "author" : [ { "dropping-particle" : "", "family" : "Steffensen", "given" : "M", "non-dropping-particle" : "", "parse-names" : false, "suffix" : "" }, { "dropping-particle" : "", "family" : "Rogers", "given" : "Everett", "non-dropping-particle" : "", "parse-names" : false, "suffix" : "" }, { "dropping-particle" : "", "family" : "Speakman", "given" : "Kristen", "non-dropping-particle" : "", "parse-names" : false, "suffix" : "" } ], "container-title" : "Journal of Business Venturing", "id" : "ITEM-1", "issue" : "1", "issued" : { "date-parts" : [ [ "1999", "1", "2" ] ] }, "page" : "93-111", "title" : "Spin-offs from research centers at a research university", "type" : "article-journal", "volume" : "15" }, "uris" : [ "http://www.mendeley.com/documents/?uuid=30bc2d01-db53-482c-9fee-13c4207af044" ] }, { "id" : "ITEM-2", "itemData" : { "DOI" : "10.1007/s10961-008-9088-9", "ISSN" : "0892-9912", "author" : [ { "dropping-particle" : "", "family" : "Zhang", "given" : "Junfu", "non-dropping-particle" : "", "parse-names" : false, "suffix" : "" } ], "container-title" : "The Journal of Technology Transfer", "id" : "ITEM-2", "issue" : "3", "issued" : { "date-parts" : [ [ "2008", "4", "8" ] ] }, "page" : "255-285", "title" : "The performance of university spin-offs: an exploratory analysis using venture capital data", "type" : "article-journal", "volume" : "34" }, "uris" : [ "http://www.mendeley.com/documents/?uuid=a0d4839c-f428-4b38-a74d-ed51b5b073a3" ] }, { "id" : "ITEM-3", "itemData" : { "DOI" : "10.1007/s10961-011-9241-8", "ISSN" : "0892-9912", "author" : [ { "dropping-particle" : "", "family" : "Algieri", "given" : "Bernardina.", "non-dropping-particle" : "", "parse-names" : false, "suffix" : "" }, { "dropping-particle" : "", "family" : "Aquino", "given" : "Antonio.", "non-dropping-particle" : "", "parse-names" : false, "suffix" : "" }, { "dropping-particle" : "", "family" : "Succurro", "given" : "Marianna.", "non-dropping-particle" : "", "parse-names" : false, "suffix" : "" } ], "container-title" : "The Journal of Technology Transfer", "id" : "ITEM-3", "issued" : { "date-parts" : [ [ "2011", "11", "25" ] ] }, "title" : "Technology transfer offices and academic spin-off creation: the case of Italy", "type" : "article-journal" }, "uris" : [ "http://www.mendeley.com/documents/?uuid=71108eec-4785-477c-9c6f-f7cfe50e8848" ] }, { "id" : "ITEM-4", "itemData" : { "author" : [ { "dropping-particle" : "", "family" : "Rodeiro", "given" : "David", "non-dropping-particle" : "", "parse-names" : false, "suffix" : "" }, { "dropping-particle" : "", "family" : "Sara", "given" : "Pazos", "non-dropping-particle" : "", "parse-names" : false, "suffix" : "" }, { "dropping-particle" : "", "family" : "L\u00f3pez", "given" : "Fern\u00e1ndez", "non-dropping-particle" : "", "parse-names" : false, "suffix" : "" }, { "dropping-particle" : "", "family" : "Otero", "given" : "Luis", "non-dropping-particle" : "", "parse-names" : false, "suffix" : "" }, { "dropping-particle" : "", "family" : "Alfonso", "given" : "Gonz\u00e1lez", "non-dropping-particle" : "", "parse-names" : false, "suffix" : "" }, { "dropping-particle" : "", "family" : "Sandi\u00e1s", "given" : "Rodr\u00edguez", "non-dropping-particle" : "", "parse-names" : false, "suffix" : "" } ], "container-title" : "Revista Europea de Direcci\u00f3n y Econom\u00eda de la Empresa", "id" : "ITEM-4", "issue" : "1", "issued" : { "date-parts" : [ [ "2010" ] ] }, "page" : "47-68", "title" : "Factores determinantes de la creaci\u00f3n de spin-offs universitarias", "type" : "article-journal", "volume" : "19" }, "uris" : [ "http://www.mendeley.com/documents/?uuid=976b8aff-2f73-46b7-b37c-8afbec79e9b8" ] }, { "id" : "ITEM-5", "itemData" : { "DOI" : "10.1007/s11365-007-0061-0", "ISBN" : "1136500700610", "ISSN" : "1554-7191", "author" : [ { "dropping-particle" : "", "family" : "G\u00f3mez", "given" : "Jos\u00e9 Mar\u00eda", "non-dropping-particle" : "", "parse-names" : false, "suffix" : "" }, { "dropping-particle" : "", "family" : "Galiana", "given" : "Domingo Rafael", "non-dropping-particle" : "", "parse-names" : false, "suffix" : "" }, { "dropping-particle" : "", "family" : "Mira", "given" : "Ignacio", "non-dropping-particle" : "", "parse-names" : false, "suffix" : "" }, { "dropping-particle" : "", "family" : "Verd\u00fa", "given" : "Antonio Jos\u00e9", "non-dropping-particle" : "", "parse-names" : false, "suffix" : "" }, { "dropping-particle" : "", "family" : "Sancho", "given" : "Javier", "non-dropping-particle" : "", "parse-names" : false, "suffix" : "" } ], "container-title" : "International Entrepreneurship and Management Journal", "id" : "ITEM-5", "issue" : "2", "issued" : { "date-parts" : [ [ "2007", "11", "14" ] ] }, "page" : "187-198", "title" : "An empirical approach to the organisational determinants of spin-off creation in European universities", "type" : "article-journal", "volume" : "4" }, "uris" : [ "http://www.mendeley.com/documents/?uuid=e1cb0f51-0c85-4349-871c-75fcaeb48a00" ] } ], "mendeley" : { "previouslyFormattedCitation" : "(Algieri, Aquino, &amp; Succurro, 2011; G\u00f3mez et al., 2007; Rodeiro et al., 2010; Steffensen et al., 1999; Zhang, 2008)" }, "properties" : { "noteIndex" : 0 }, "schema" : "https://github.com/citation-style-language/schema/raw/master/csl-citation.json" }</w:instrText>
      </w:r>
      <w:r w:rsidR="003B0D24" w:rsidRPr="005D10C1">
        <w:rPr>
          <w:rStyle w:val="Textoennegrita"/>
          <w:rFonts w:ascii="Candara" w:hAnsi="Candara" w:cstheme="minorHAnsi"/>
        </w:rPr>
        <w:fldChar w:fldCharType="separate"/>
      </w:r>
      <w:r w:rsidR="00024969" w:rsidRPr="005D10C1">
        <w:rPr>
          <w:rStyle w:val="Textoennegrita"/>
          <w:rFonts w:ascii="Candara" w:hAnsi="Candara" w:cstheme="minorHAnsi"/>
          <w:noProof/>
        </w:rPr>
        <w:t>(Algieri, Aquino, &amp; Succurro, 2011; Gómez et al., 2007; Rodeiro et al., 2010; Steffensen et al., 1999; Zhang, 2008)</w:t>
      </w:r>
      <w:r w:rsidR="003B0D24" w:rsidRPr="005D10C1">
        <w:rPr>
          <w:rStyle w:val="Textoennegrita"/>
          <w:rFonts w:ascii="Candara" w:hAnsi="Candara" w:cstheme="minorHAnsi"/>
        </w:rPr>
        <w:fldChar w:fldCharType="end"/>
      </w:r>
      <w:r w:rsidRPr="005D10C1">
        <w:rPr>
          <w:rStyle w:val="Textoennegrita"/>
          <w:rFonts w:ascii="Candara" w:hAnsi="Candara" w:cstheme="minorHAnsi"/>
        </w:rPr>
        <w:t>, las políticas gubernamentales y universitarias</w:t>
      </w:r>
      <w:r w:rsidR="00024969" w:rsidRPr="005D10C1">
        <w:rPr>
          <w:rStyle w:val="Textoennegrita"/>
          <w:rFonts w:ascii="Candara" w:hAnsi="Candara" w:cstheme="minorHAnsi"/>
        </w:rPr>
        <w:t xml:space="preserve"> </w:t>
      </w:r>
      <w:r w:rsidR="003B0D24" w:rsidRPr="005D10C1">
        <w:rPr>
          <w:rStyle w:val="Textoennegrita"/>
          <w:rFonts w:ascii="Candara" w:hAnsi="Candara" w:cstheme="minorHAnsi"/>
        </w:rPr>
        <w:fldChar w:fldCharType="begin" w:fldLock="1"/>
      </w:r>
      <w:r w:rsidR="00CA1A09" w:rsidRPr="005D10C1">
        <w:rPr>
          <w:rStyle w:val="Textoennegrita"/>
          <w:rFonts w:ascii="Candara" w:hAnsi="Candara" w:cstheme="minorHAnsi"/>
        </w:rPr>
        <w:instrText>ADDIN CSL_CITATION { "citationItems" : [ { "id" : "ITEM-1", "itemData" : { "author" : [ { "dropping-particle" : "", "family" : "Rodeiro", "given" : "David", "non-dropping-particle" : "", "parse-names" : false, "suffix" : "" }, { "dropping-particle" : "", "family" : "Sara", "given" : "Pazos", "non-dropping-particle" : "", "parse-names" : false, "suffix" : "" }, { "dropping-particle" : "", "family" : "L\u00f3pez", "given" : "Fern\u00e1ndez", "non-dropping-particle" : "", "parse-names" : false, "suffix" : "" }, { "dropping-particle" : "", "family" : "Otero", "given" : "Luis", "non-dropping-particle" : "", "parse-names" : false, "suffix" : "" }, { "dropping-particle" : "", "family" : "Alfonso", "given" : "Gonz\u00e1lez", "non-dropping-particle" : "", "parse-names" : false, "suffix" : "" }, { "dropping-particle" : "", "family" : "Sandi\u00e1s", "given" : "Rodr\u00edguez", "non-dropping-particle" : "", "parse-names" : false, "suffix" : "" } ], "container-title" : "Revista Europea de Direcci\u00f3n y Econom\u00eda de la Empresa", "id" : "ITEM-1", "issue" : "1", "issued" : { "date-parts" : [ [ "2010" ] ] }, "page" : "47-68", "title" : "Factores determinantes de la creaci\u00f3n de spin-offs universitarias", "type" : "article-journal", "volume" : "19" }, "uris" : [ "http://www.mendeley.com/documents/?uuid=976b8aff-2f73-46b7-b37c-8afbec79e9b8" ] }, { "id" : "ITEM-2", "itemData" : { "DOI" : "10.1007/s11365-007-0061-0", "ISBN" : "1136500700610", "ISSN" : "1554-7191", "author" : [ { "dropping-particle" : "", "family" : "G\u00f3mez", "given" : "Jos\u00e9 Mar\u00eda", "non-dropping-particle" : "", "parse-names" : false, "suffix" : "" }, { "dropping-particle" : "", "family" : "Galiana", "given" : "Domingo Rafael", "non-dropping-particle" : "", "parse-names" : false, "suffix" : "" }, { "dropping-particle" : "", "family" : "Mira", "given" : "Ignacio", "non-dropping-particle" : "", "parse-names" : false, "suffix" : "" }, { "dropping-particle" : "", "family" : "Verd\u00fa", "given" : "Antonio Jos\u00e9", "non-dropping-particle" : "", "parse-names" : false, "suffix" : "" }, { "dropping-particle" : "", "family" : "Sancho", "given" : "Javier", "non-dropping-particle" : "", "parse-names" : false, "suffix" : "" } ], "container-title" : "International Entrepreneurship and Management Journal", "id" : "ITEM-2", "issue" : "2", "issued" : { "date-parts" : [ [ "2007", "11", "14" ] ] }, "page" : "187-198", "title" : "An empirical approach to the organisational determinants of spin-off creation in European universities", "type" : "article-journal", "volume" : "4" }, "uris" : [ "http://www.mendeley.com/documents/?uuid=e1cb0f51-0c85-4349-871c-75fcaeb48a00" ] }, { "id" : "ITEM-3", "itemData" : { "DOI" : "10.1007/s10961-011-9241-8", "ISSN" : "0892-9912", "author" : [ { "dropping-particle" : "", "family" : "Algieri", "given" : "Bernardina.", "non-dropping-particle" : "", "parse-names" : false, "suffix" : "" }, { "dropping-particle" : "", "family" : "Aquino", "given" : "Antonio.", "non-dropping-particle" : "", "parse-names" : false, "suffix" : "" }, { "dropping-particle" : "", "family" : "Succurro", "given" : "Marianna.", "non-dropping-particle" : "", "parse-names" : false, "suffix" : "" } ], "container-title" : "The Journal of Technology Transfer", "id" : "ITEM-3", "issued" : { "date-parts" : [ [ "2011", "11", "25" ] ] }, "title" : "Technology transfer offices and academic spin-off creation: the case of Italy", "type" : "article-journal" }, "uris" : [ "http://www.mendeley.com/documents/?uuid=71108eec-4785-477c-9c6f-f7cfe50e8848" ] } ], "mendeley" : { "previouslyFormattedCitation" : "(Algieri et al., 2011; G\u00f3mez et al., 2007; Rodeiro et al., 2010)" }, "properties" : { "noteIndex" : 0 }, "schema" : "https://github.com/citation-style-language/schema/raw/master/csl-citation.json" }</w:instrText>
      </w:r>
      <w:r w:rsidR="003B0D24" w:rsidRPr="005D10C1">
        <w:rPr>
          <w:rStyle w:val="Textoennegrita"/>
          <w:rFonts w:ascii="Candara" w:hAnsi="Candara" w:cstheme="minorHAnsi"/>
        </w:rPr>
        <w:fldChar w:fldCharType="separate"/>
      </w:r>
      <w:r w:rsidR="00024969" w:rsidRPr="005D10C1">
        <w:rPr>
          <w:rStyle w:val="Textoennegrita"/>
          <w:rFonts w:ascii="Candara" w:hAnsi="Candara" w:cstheme="minorHAnsi"/>
          <w:noProof/>
        </w:rPr>
        <w:t>(Algieri et al., 2011; Gómez et al., 2007; Rodeiro et al., 2010)</w:t>
      </w:r>
      <w:r w:rsidR="003B0D24" w:rsidRPr="005D10C1">
        <w:rPr>
          <w:rStyle w:val="Textoennegrita"/>
          <w:rFonts w:ascii="Candara" w:hAnsi="Candara" w:cstheme="minorHAnsi"/>
        </w:rPr>
        <w:fldChar w:fldCharType="end"/>
      </w:r>
      <w:r w:rsidRPr="005D10C1">
        <w:rPr>
          <w:rStyle w:val="Textoennegrita"/>
          <w:rFonts w:ascii="Candara" w:hAnsi="Candara" w:cstheme="minorHAnsi"/>
        </w:rPr>
        <w:t xml:space="preserve"> y el marco legal</w:t>
      </w:r>
      <w:r w:rsidR="00024969" w:rsidRPr="005D10C1">
        <w:rPr>
          <w:rStyle w:val="Textoennegrita"/>
          <w:rFonts w:ascii="Candara" w:hAnsi="Candara" w:cstheme="minorHAnsi"/>
        </w:rPr>
        <w:t xml:space="preserve"> </w:t>
      </w:r>
      <w:r w:rsidR="003B0D24" w:rsidRPr="005D10C1">
        <w:rPr>
          <w:rStyle w:val="Textoennegrita"/>
          <w:rFonts w:ascii="Candara" w:hAnsi="Candara" w:cstheme="minorHAnsi"/>
        </w:rPr>
        <w:fldChar w:fldCharType="begin" w:fldLock="1"/>
      </w:r>
      <w:r w:rsidR="00CA1A09" w:rsidRPr="005D10C1">
        <w:rPr>
          <w:rStyle w:val="Textoennegrita"/>
          <w:rFonts w:ascii="Candara" w:hAnsi="Candara" w:cstheme="minorHAnsi"/>
        </w:rPr>
        <w:instrText>ADDIN CSL_CITATION { "citationItems" : [ { "id" : "ITEM-1", "itemData" : { "DOI" : "10.1016/j.technovation.2009.07.004", "ISSN" : "01664972", "abstract" : "Following a design science approach, this paper develops a framework of policy design principles for fostering technology entrepreneurship in a region. These principles are grounded in research findings and describe the factors and causal mechanisms that explain the founding and success rates of both corporate and academic spin-offs. We differentiate between principles that serve the creation of spin-offs versus those focusing on their subsequent chances of success. We provide an in-depth empirical application of this framework to spin-off policy in the regions of Eindhoven and Leuven. This application of the framework serves to assess the extent to which standing spin-off policy in both regions is (1) up-to-date, (2) comprehensive as well as (3) sufficiently robust against 'policy fashions'. Several directions for redesigning spin-off policy follow from this assessment. \u00a9 2009 Elsevier Ltd. All rights reserved.", "author" : [ { "dropping-particle" : "", "family" : "Gilsing", "given" : "Victor A.", "non-dropping-particle" : "", "parse-names" : false, "suffix" : "" }, { "dropping-particle" : "", "family" : "Burg", "given" : "Elco", "non-dropping-particle" : "van", "parse-names" : false, "suffix" : "" }, { "dropping-particle" : "", "family" : "Romme", "given" : "Georges L.", "non-dropping-particle" : "", "parse-names" : false, "suffix" : "" } ], "container-title" : "Technovation", "id" : "ITEM-1", "issue" : "1", "issued" : { "date-parts" : [ [ "2010", "1" ] ] }, "note" : "        From Duplicate 2 (                           Policy principles for the creation and success of corporate and academic spin-offs                         - Gilsing, Victor A.; van Burg, Elco; Romme, A. Georges L. )\n                \nFollowing a design science approach, this paper develops a framework of policy design principles for fostering technology entrepreneurship in a region. These principles are grounded in research findings and describe the factors and causal mechanisms that explain the founding and success rates of both corporate and academic spin-offs. We differentiate between principles that serve the creation of spin-offs versus those focusing on their subsequent chances of success. We provide an in-depth empirical application of this framework to spin-off policy in the regions of Eindhoven and Leuven. This application of the framework serves to assess the extent to which standing spin-off policy in both regions is (1) up-to-date, (2) comprehensive as well as (3) sufficiently robust against [`]policy fashions'. Several directions for redesigning spin-off policy follow from this assessment.\n        \n        From Duplicate 3 (                           Policy principles for the creation and success of corporate and academic spin-offs                         - Gilsing, V.A.; van Burg, E.; Romme, A.G.L. )\n                \nSource: Scopus\n----------\nCited By (since 1996): 4\n----------\nExport Date: 18 March 2011\n----------\nFollowing a design science approach, this paper develops a framework of policy design principles for fostering technology entrepreneurship in a region. These principles are grounded in research findings and describe the factors and causal mechanisms that explain the founding and success rates of both corporate and academic spin-offs. We differentiate between principles that serve the creation of spin-offs versus those focusing on their subsequent chances of success. We provide an in-depth empirical application of this framework to spin-off policy in the regions of Eindhoven and Leuven. This application of the framework serves to assess the extent to which standing spin-off policy in both regions is (1) up-to-date, (2) comprehensive as well as (3) sufficiently robust against 'policy fashions'. Several directions for redesigning spin-off policy follow from this assessment. \u00c2\u00a9 2009 Elsevier Ltd. All rights reserved.\n----------\nReferences: Aldrich, H.E., Fiol, C.M., Fools rush in? The institutional context of industry creation (1994) Academy of Management Review, 19 (4), pp. 645-670;Anton, J.J., Yao, D.A., Start-ups, spin-offs, and internal projects (1995) Journal of Law, Economics, and Organization, 11 (2), pp. 362-378;Asheim, B.T., Coenen, L., Knowledge bases and regional innovation systems: comparing Nordic clusters (2005) Research Policy, 34 (8), pp. 1173-1190;Asheim, B.T., Gertler, M.S., The geography of innovation: regional innovation systems (2005) The Oxford Handbook of Innovation, pp. 291-317. , Fagerberg J., Mowery D.C., and Nelson R.R. (Eds), Oxford University Press, Oxford;Audretsch, D.B., Stephan, P.E., Company-scientist locational links: the case of biotechnology (1996) The American Economic Review, 86 (3), pp. 641-652;Bekkers, R., Gilsing, V., van der Steen, M., Determining factors of the effectiveness of IP-based spin-offs: comparing the Netherlands and the US (2006) Journal of Technology Transfer, 31 (5), pp. 545-566;Bergek, A., Norrman, C., Incubator best practice: a framework (2008) Technovation, 28 (1-2), pp. 20-28;Bower, D.J., Business model fashion and the academic spinout firm (2003) R&amp;D Management, 33 (2), pp. 97-106;Breschi, S., Malerba, F., Sectoral innovation systems: technological regimes, Schumpetarian dynamics and spatial boundaries (1997) Systems of Innovation, Technologies, Institutions and Organizations, , Edquist C. (Ed), Pinter, London;Chesbrough, H., (2003) Open innovation: the new imperative for creating and profiting from technology, , Harvard Business School Press, Harvard (MA);Chesbrough, H., Tucci, C.L., (2005) Corporate venture capital in the context of corporate innovation, , EPFL Working Paper Lausanne;Christensen, C., (1997) The Innovator's Dilemma, , Harvard Business School Press, Cambridge (MA);Christensen, C.M., Bower, J., Customer power, strategic investment, and the failure of leading firms (1996) Strategic Management Journal, 17 (3), pp. 197-218;Clarysse, B., Wright, M., Lockett, A., Van de Velde, E., Vohora, A., Spinning out new ventures: a typology of incubation strategies from European research institutions (2005) Journal of Business Venturing, 20 (2), pp. 183-216;Cohen, W.M., Levinthal, D.A., Absorptive capacity: a new perspective on learning and innovation (1990) Administrative Science Quarterly, 35 (1), pp. 128-152;Coriat, B., Weinstein, O., National institutional frameworks, institutional complementarities and sectoral systems of innovation (2004) Sectoral Systems of Innovation: Concepts, Issues and Analyses of Six Major Sectors in Europe, , Malerba F. (Ed), Cambridge University Press, Cambridge;Debackere, K., Managing academic R&amp;D as a business at K.U. Leuven: context, structure and process (2000) R&amp;D Management, 30 (4), pp. 323-328;Debackere, K., Veugelers, R., The role of academic technology transfer organizations in improving industry science links (2005) Research Policy, 34 (3), pp. 321-342;Denyer, D., Tranfield, D., Van Aken, J.E., Developing design propositions through research synthesis (2008) Organization Studies, 29 (3), pp. 393-413;Di Gregorio, D., Shane, S., Why do some universities generate more start-ups than others? (2003) Research Policy, 32 (2), pp. 209-227;Djokovic, D., Souitaris, V., Spinouts from academic institutions: a literature review with suggestions for further research (2008) Journal of Technology Transfer, 33 (3), pp. 225-247;Dosi, G., Freeman, C., Nelson, R.R., Silverberg, G., Soete, L., (1988) Technical Change and Economic Theory, , Pinter, London;Dushnitsky, G., Lenox, M.J., When do firms undertake R&amp;D by investing in new ventures? (2005) Strategic Management Journal, 26 (10), pp. 947-965;Etzkowitz, H., Klofsten, M., The innovating region: toward a theory of knowledge-based regional development (2005) R&amp;D Management, 35 (3), pp. 243-255;Friedman, J., Silberman, J., University technology transfer: do incentives, management, and location matter? (2003) Journal of Technology Transfer, 28 (1), pp. 17-30;Gans, J.S., Stern, S., The product market and the market for \"ideas\": commercialization strategies for technology entrepreneurs (2003) Research Policy, 32 (2), pp. 333-350;Gilsing, V., Nooteboom, B., Exploration and exploitation in innovation systems: the case of pharmaceutical biotechnology (2006) Research Policy, 35 (1), pp. 1-23;Grimaldi, R., Grandi, A., Business incubators and new venture creation: an assessment of incubating models (2005) Technovation, 25 (2), pp. 111-121;Groenewegen, J., van der Steen, M., The evolution of national innovation systems (2006) Journal of Economic Issues, 40 (2), pp. 277-285;Hackett, S.M., Dilts, D.M., A systematic review of business incubation research (2004) Journal of Technology Transfer, 29 (1), pp. 55-82;Hellman, T., (1996) A theory of corporate investing, , Stanford Working Paper;Hindle, K., Yencken, J., Public research commercialisation, entrepreneurship and new technology based firms: an integrated model (2004) Technovation, 24 (10), pp. 793-803;Hollanders, H., European regional innovation scoreboard (2006) European Trend Chart on Innovation 2006;Johnson, W.H.A., Roles, resources and benefits of intermediate organizations supporting triple helix collaborative R&amp;D: the case of Precarn (2008) Technovation, 28 (8), pp. 495-505;Katila, R., Mang, P.Y., Exploiting technological opportunities: the timing of collaborations (2003) Research Policy, 32 (2), pp. 317-332;Keil, T., (2002) External Corporate Venturing: Strategic Renewal in Rapidly Changing Industries, , Quorum Books, Westport (CT);Kirwan, P., van der Sijde, P., Groen, A., Assessing the needs of new technology based firms (NTBFs): an investigation among spin-off companies from six European Universities (2006) The International Entrepreneurship and Management Journal, 2 (2), pp. 173-187;Lecocq, C., Van Looy, B., Zimmermann, E., Developing the support infrastructure of technology transfer offices to accommodate the needs of global spin-off companies (outline of a methodology applied within the GlobalStart project) (2008) International Journal of Globalisation and Small Business, , forthcoming;Levinthal, D.A., March, J.G., The myopia of learning (1993) Strategic Management Journal, 14, pp. 95-112;Lockett, A., Siegel, D., Wright, M., Ensley, M.D., The creation of spin-off firms at public research institutions: managerial and policy implications (2005) Research Policy, 34 (7), pp. 981-993;Lockett, A., Wright, M., Resources, capabilities, risk capital and the creation of university spin-out companies (2005) Research Policy, 34 (7), pp. 1043-1057;Lofsten, H., Lindelof, P., R&amp;D networks and product innovation patterns: academic and non-academic new technology-based firms on Science Parks (2005) Technovation, 25 (9), pp. 1025-1037;Marsili, O., (2001) The Anatomy and Evolution of Industries, Technological Change and Industrial Dynamics, , Edward Elgar, Cheltenham;Meyer, M., Academic entrepreneurs or entrepreneurial academics? Research-based ventures and public support mechanisms (2003) R&amp;D Management, 33 (2), pp. 107-115;Mowery, D.C., Nelson, R.R., Sampat, B.N., Ziedonis, A.A., (2004) Ivory Tower and Industrial Innovation: University-Industry Technology Transfer Before and After the Bayh-Dole Act, , Stanford Business Books, Stanford;Nelson, R.N., Observations on the post Bayh-Dole rising of patenting at American universities (2001) Journal of Technology Transfer, 26, pp. 13-19;Nooteboom, B., (2000) Learning and Innovation in Organizations and Economics, , Oxford University Press, Oxford;O'Gorman, C., Stimulating high-tech venture creation (2003) R&amp;D Management, 33 (2), pp. 177-187;O'Shea, R., Allen, T.J., O'Gorman, C., Roche, F., Universities and technology transfer: a review of academic entrepreneurship literature (2004) Irish Journal of Management, 25 (2), pp. 11-29;Parhankangas, A., Arenius, P., From a corporate venture to an independent company: a base for a taxonomy for corporate spin-off firms (2003) Research Policy, 32 (3), pp. 463-481;Pavitt, K., Sectoral patterns of technical change: towards a taxonomy and a theory (1984) Research Policy, 13 (6), pp. 343-373;Phan, P.H., Siegel, D.S., Wright, M., Science parks and incubators: observations, synthesis and future research (2005) Journal of Business Venturing, 20 (2), pp. 165-182;Polt, W., Benchmarking industry science relations: The role of framework conditions (2001), Final Report Prepared for EC, DG EnterprisePowers, J.B., McDougall, P.P., University start-up formation and technology licensing with firms that go public: a resource-based view of academic entrepreneurship (2005) Journal of Business Venturing, 20 (3), pp. 291-311;Rasmussen, E., Government instruments to support the commercialization of university research: lessons from Canada (2008) Technovation, 28 (8), pp. 506-517;Rasmussen, E., Moen, \u00c3\u02dc., Gulbrandsen, M., Initiatives to promote commercialization of university knowledge (2006) Technovation, 26 (4), pp. 518-533;Roberts, E.B., Malone, D.E., Policies and structures for spinning off new companies from research and development organizations (1996) R&amp;D Management, 26 (1), pp. 17-48;Romme, A.G.L., Making a difference: organization as design (2003) Organization Science, 14 (5), pp. 558-573;Romme, A.G.L., Endenburg, G., Construction principles and design rules in the case of circular design (2006) Organization Science, 17 (2), pp. 287-297;Rothaermel, F.T., Incumbent's advantage through exploiting complementary assets via interfirm cooperation (2001) Strategic Management Journal, 22 (6-7), p. 687;Rothaermel, F.T., Agung, S.D., Jiang, L., University entrepreneurship: a taxonomy of the literature (2007) Industrial and Corporate Change, 16 (4), pp. 691-791;Saxenian, A., (1996) Regional Advantage: Culture and Competition in Silicon Valley and Route 128, , Harvard University Press, Cambridge, MA;Shane, S., Technology regimes and new firm formation (2001) Management Science, 47 (9), pp. 1173-1190;Shane, S., Selling university technology: patterns from MIT (2002) Management Science, 48 (1), pp. 122-137;Shane, S., (2004) Academic Entrepreneurship: University Spin-Offs and Wealth Creation, , Edward Elgar, Cheltenham and Northampton, MA;Shane, S., Venkataraman, S., Guest editors' introduction to the special issue on technology entrepreneurship (2003) Research Policy, 32 (2), pp. 181-184;Siegel, R., Siegel, E., MacMillan, I.C., Corporate venture capitalists: autonomy, obstacles, and performance (1988) Journal of Business Venturing, 3 (3), pp. 233-247;Stuart, T., Sorenson, O., The geography of opportunity: spatial heterogeneity in founding rates and the performance of biotechnology firms (2003) Research Policy, 32 (2), pp. 229-253;Teece, D.J., Profiting from technological innovation: implications for integration, collaboration, licensing and public policy (1986) Research Policy, 15 (6), pp. 285-305;Tripsas, M., Unraveling the process of creative destruction: complementary assets and incumbent survival in the typesetter industry (1997) Strategic Management Journal, 18, pp. 119-142;T\u00c3\u00bcbke, A., (2005) Success Factors of Corporate Spin-Offs, , Springer, New York;Van Aken, J.E., Management research based on the paradigm of the design sciences: the quest for field-tested and grounded technological rules (2004) Journal of Management Studies, 41 (2), pp. 219-246;Van Burg, E., Romme, A.G.L., Gilsing, V.A., Reymen, I.M.M.J., Creating university spin-offs: a science-based design perspective (2008) Journal of Product Innovation Management, 25 (2), pp. 114-128;Van Looy, B., Ranga, M., Callaert, J., Debackere, K., Zimmermann, E., Combining entrepreneurial and scientific performance in academia: towards a compounded and reciprocal Matthew-effect? (2004) Research Policy, 33 (3), pp. 425-441;Vedovello, C., Science parks and university-industry interaction: geographical proximity between the agents as a driving force (1997) Technovation, 17 (9), pp. 491-502;Vohora, A., Wright, M., Lockett, A., Critical junctures in the development of university high-tech spinout companies (2004) Research Policy, 33 (1), pp. 147-175;Von Hippel, E., Successful and failing internal corporate ventures: an empirical analysis (1977) Industrial Marketing Management, 6 (3), pp. 163-174;Wallin, M.W., Lindholm Dahlstrand, A., Sponsored spin-offs, industrial growth and change (2006) Technovation, 26 (5-6), pp. 611-620;Wright, M., Clarysse, B., Lockett, A., Knockaert, M., Mid-range universities' linkages with industry: knowledge types and the role of intermediaries (2008) Research Policy, 37 (8), pp. 1205-1223;Zahra, S.A., Van de Velde, E., Larraneta, B., Knowledge conversion capability and the performance of corporate and university spin-offs (2007) Industrial and Corporate Change, 16 (4), pp. 569-608;Zucker, L.G., Darby, M.R., Brewer, M.B., Intellectual human capital and the birth of US biotechnology enterprises (1998) American Economic Review, 88 (1), pp. 290-306\n        \n                  \nFrom Duplicate 4 (                           Policy principles for the creation and success of corporate and academic spin-offs                         - Gilsing, V.A.; van Burg, E.; Romme, A.G.L. )\n                \nCited By (since 1996): 4\n----------\nSource: Scopus\n----------\nExport Date: 18 March 2011\n----------\nFollowing a design science approach, this paper develops a framework of policy design principles for fostering technology entrepreneurship in a region. These principles are grounded in research findings and describe the factors and causal mechanisms that explain the founding and success rates of both corporate and academic spin-offs. We differentiate between principles that serve the creation of spin-offs versus those focusing on their subsequent chances of success. We provide an in-depth empirical application of this framework to spin-off policy in the regions of Eindhoven and Leuven. This application of the framework serves to assess the extent to which standing spin-off policy in both regions is (1) up-to-date, (2) comprehensive as well as (3) sufficiently robust against 'policy fashions'. Several directions for redesigning spin-off policy follow from this assessment. \u00c2\u00a9 2009 Elsevier Ltd. All rights reserved.\n        \n                  \nFrom Duplicate 7 (                           Policy principles for the creation and success of corporate and academic spin-offs                         - Gilsing, V.A.; van Burg, E.; Romme, A.G.L. )\n                \nExport Date: 18 March 2011\n----------\nSource: Scopus\n----------\nFollowing a design science approach, this paper develops a framework of policy design principles for fostering technology entrepreneurship in a region. These principles are grounded in research findings and describe the factors and causal mechanisms that explain the founding and success rates of both corporate and academic spin-offs. We differentiate between principles that serve the creation of spin-offs versus those focusing on their subsequent chances of success. We provide an in-depth empirical application of this framework to spin-off policy in the regions of Eindhoven and Leuven. This application of the framework serves to assess the extent to which standing spin-off policy in both regions is (1) up-to-date, (2) comprehensive as well as (3) sufficiently robust against 'policy fashions'. Several directions for redesigning spin-off policy follow from this assessment. \u00c2\u00a9 2009 Elsevier Ltd. All rights reserved.\n----------\nCited By (since 1996): 4\n----------\nReferences: Aldrich, H.E., Fiol, C.M., Fools rush in? The institutional context of industry creation (1994) Academy of Management Review, 19 (4), pp. 645-670;Anton, J.J., Yao, D.A., Start-ups, spin-offs, and internal projects (1995) Journal of Law, Economics, and Organization, 11 (2), pp. 362-378;Asheim, B.T., Coenen, L., Knowledge bases and regional innovation systems: comparing Nordic clusters (2005) Research Policy, 34 (8), pp. 1173-1190;Asheim, B.T., Gertler, M.S., The geography of innovation: regional innovation systems (2005) The Oxford Handbook of Innovation, pp. 291-317. , Fagerberg J., Mowery D.C., and Nelson R.R. (Eds), Oxford University Press, Oxford;Audretsch, D.B., Stephan, P.E., Company-scientist locational links: the case of biotechnology (1996) The American Economic Review, 86 (3), pp. 641-652;Bekkers, R., Gilsing, V., van der Steen, M., Determining factors of the effectiveness of IP-based spin-offs: comparing the Netherlands and the US (2006) Journal of Technology Transfer, 31 (5), pp. 545-566;Bergek, A., Norrman, C., Incubator best practice: a framework (2008) Technovation, 28 (1-2), pp. 20-28;Bower, D.J., Business model fashion and the academic spinout firm (2003) R&amp;D Management, 33 (2), pp. 97-106;Breschi, S., Malerba, F., Sectoral innovation systems: technological regimes, Schumpetarian dynamics and spatial boundaries (1997) Systems of Innovation, Technologies, Institutions and Organizations, , Edquist C. (Ed), Pinter, London;Chesbrough, H., (2003) Open innovation: the new imperative for creating and profiting from technology, , Harvard Business School Press, Harvard (MA);Chesbrough, H., Tucci, C.L., (2005) Corporate venture capital in the context of corporate innovation, , EPFL Working Paper Lausanne;Christensen, C., (1997) The Innovator's Dilemma, , Harvard Business School Press, Cambridge (MA);Christensen, C.M., Bower, J., Customer power, strategic investment, and the failure of leading firms (1996) Strategic Management Journal, 17 (3), pp. 197-218;Clarysse, B., Wright, M., Lockett, A., Van de Velde, E., Vohora, A., Spinning out new ventures: a typology of incubation strategies from European research institutions (2005) Journal of Business Venturing, 20 (2), pp. 183-216;Cohen, W.M., Levinthal, D.A., Absorptive capacity: a new perspective on learning and innovation (1990) Administrative Science Quarterly, 35 (1), pp. 128-152;Coriat, B., Weinstein, O., National institutional frameworks, institutional complementarities and sectoral systems of innovation (2004) Sectoral Systems of Innovation: Concepts, Issues and Analyses of Six Major Sectors in Europe, , Malerba F. (Ed), Cambridge University Press, Cambridge;Debackere, K., Managing academic R&amp;D as a business at K.U. Leuven: context, structure and process (2000) R&amp;D Management, 30 (4), pp. 323-328;Debackere, K., Veugelers, R., The role of academic technology transfer organizations in improving industry science links (2005) Research Policy, 34 (3), pp. 321-342;Denyer, D., Tranfield, D., Van Aken, J.E., Developing design propositions through research synthesis (2008) Organization Studies, 29 (3), pp. 393-413;Di Gregorio, D., Shane, S., Why do some universities generate more start-ups than others? (2003) Research Policy, 32 (2), pp. 209-227;Djokovic, D., Souitaris, V., Spinouts from academic institutions: a literature review with suggestions for further research (2008) Journal of Technology Transfer, 33 (3), pp. 225-247;Dosi, G., Freeman, C., Nelson, R.R., Silverberg, G., Soete, L., (1988) Technical Change and Economic Theory, , Pinter, London;Dushnitsky, G., Lenox, M.J., When do firms undertake R&amp;D by investing in new ventures? (2005) Strategic Management Journal, 26 (10), pp. 947-965;Etzkowitz, H., Klofsten, M., The innovating region: toward a theory of knowledge-based regional development (2005) R&amp;D Management, 35 (3), pp. 243-255;Friedman, J., Silberman, J., University technology transfer: do incentives, management, and location matter? (2003) Journal of Technology Transfer, 28 (1), pp. 17-30;Gans, J.S., Stern, S., The product market and the market for \"ideas\": commercialization strategies for technology entrepreneurs (2003) Research Policy, 32 (2), pp. 333-350;Gilsing, V., Nooteboom, B., Exploration and exploitation in innovation systems: the case of pharmaceutical biotechnology (2006) Research Policy, 35 (1), pp. 1-23;Grimaldi, R., Grandi, A., Business incubators and new venture creation: an assessment of incubating models (2005) Technovation, 25 (2), pp. 111-121;Groenewegen, J., van der Steen, M., The evolution of national innovation systems (2006) Journal of Economic Issues, 40 (2), pp. 277-285;Hackett, S.M., Dilts, D.M., A systematic review of business incubation research (2004) Journal of Technology Transfer, 29 (1), pp. 55-82;Hellman, T., (1996) A theory of corporate investing, , Stanford Working Paper;Hindle, K., Yencken, J., Public research commercialisation, entrepreneurship and new technology based firms: an integrated model (2004) Technovation, 24 (10), pp. 793-803;Hollanders, H., European regional innovation scoreboard (2006) European Trend Chart on Innovation 2006;Johnson, W.H.A., Roles, resources and benefits of intermediate organizations supporting triple helix collaborative R&amp;D: the case of Precarn (2008) Technovation, 28 (8), pp. 495-505;Katila, R., Mang, P.Y., Exploiting technological opportunities: the timing of collaborations (2003) Research Policy, 32 (2), pp. 317-332;Keil, T., (2002) External Corporate Venturing: Strategic Renewal in Rapidly Changing Industries, , Quorum Books, Westport (CT);Kirwan, P., van der Sijde, P., Groen, A., Assessing the needs of new technology based firms (NTBFs): an investigation among spin-off companies from six European Universities (2006) The International Entrepreneurship and Management Journal, 2 (2), pp. 173-187;Lecocq, C., Van Looy, B., Zimmermann, E., Developing the support infrastructure of technology transfer offices to accommodate the needs of global spin-off companies (outline of a methodology applied within the GlobalStart project) (2008) International Journal of Globalisation and Small Business, , forthcoming;Levinthal, D.A., March, J.G., The myopia of learning (1993) Strategic Management Journal, 14, pp. 95-112;Lockett, A., Siegel, D., Wright, M., Ensley, M.D., The creation of spin-off firms at public research institutions: managerial and policy implications (2005) Research Policy, 34 (7), pp. 981-993;Lockett, A., Wright, M., Resources, capabilities, risk capital and the creation of university spin-out companies (2005) Research Policy, 34 (7), pp. 1043-1057;Lofsten, H., Lindelof, P., R&amp;D networks and product innovation patterns: academic and non-academic new technology-based firms on Science Parks (2005) Technovation, 25 (9), pp. 1025-1037;Marsili, O., (2001) The Anatomy and Evolution of Industries, Technological Change and Industrial Dynamics, , Edward Elgar, Cheltenham;Meyer, M., Academic entrepreneurs or entrepreneurial academics? Research-based ventures and public support mechanisms (2003) R&amp;D Management, 33 (2), pp. 107-115;Mowery, D.C., Nelson, R.R., Sampat, B.N., Ziedonis, A.A., (2004) Ivory Tower and Industrial Innovation: University-Industry Technology Transfer Before and After the Bayh-Dole Act, , Stanford Business Books, Stanford;Nelson, R.N., Observations on the post Bayh-Dole rising of patenting at American universities (2001) Journal of Technology Transfer, 26, pp. 13-19;Nooteboom, B., (2000) Learning and Innovation in Organizations and Economics, , Oxford University Press, Oxford;O'Gorman, C., Stimulating high-tech venture creation (2003) R&amp;D Management, 33 (2), pp. 177-187;O'Shea, R., Allen, T.J., O'Gorman, C., Roche, F., Universities and technology transfer: a review of academic entrepreneurship literature (2004) Irish Journal of Management, 25 (2), pp. 11-29;Parhankangas, A., Arenius, P., From a corporate venture to an independent company: a base for a taxonomy for corporate spin-off firms (2003) Research Policy, 32 (3), pp. 463-481;Pavitt, K., Sectoral patterns of technical change: towards a taxonomy and a theory (1984) Research Policy, 13 (6), pp. 343-373;Phan, P.H., Siegel, D.S., Wright, M., Science parks and incubators: observations, synthesis and future research (2005) Journal of Business Venturing, 20 (2), pp. 165-182;Polt, W., Benchmarking industry science relations: The role of framework conditions (2001), Final Report Prepared for EC, DG EnterprisePowers, J.B., McDougall, P.P., University start-up formation and technology licensing with firms that go public: a resource-based view of academic entrepreneurship (2005) Journal of Business Venturing, 20 (3), pp. 291-311;Rasmussen, E., Government instruments to support the commercialization of university research: lessons from Canada (2008) Technovation, 28 (8), pp. 506-517;Rasmussen, E., Moen, \u00c3\u02dc., Gulbrandsen, M., Initiatives to promote commercialization of university knowledge (2006) Technovation, 26 (4), pp. 518-533;Roberts, E.B., Malone, D.E., Policies and structures for spinning off new companies from research and development organizations (1996) R&amp;D Management, 26 (1), pp. 17-48;Romme, A.G.L., Making a difference: organization as design (2003) Organization Science, 14 (5), pp. 558-573;Romme, A.G.L., Endenburg, G., Construction principles and design rules in the case of circular design (2006) Organization Science, 17 (2), pp. 287-297;Rothaermel, F.T., Incumbent's advantage through exploiting complementary assets via interfirm cooperation (2001) Strategic Management Journal, 22 (6-7), p. 687;Rothaermel, F.T., Agung, S.D., Jiang, L., University entrepreneurship: a taxonomy of the literature (2007) Industrial and Corporate Change, 16 (4), pp. 691-791;Saxenian, A., (1996) Regional Advantage: Culture and Competition in Silicon Valley and Route 128, , Harvard University Press, Cambridge, MA;Shane, S., Technology regimes and new firm formation (2001) Management Science, 47 (9), pp. 1173-1190;Shane, S., Selling university technology: patterns from MIT (2002) Management Science, 48 (1), pp. 122-137;Shane, S., (2004) Academic Entrepreneurship: University Spin-Offs and Wealth Creation, , Edward Elgar, Cheltenham and Northampton, MA;Shane, S., Venkataraman, S., Guest editors' introduction to the special issue on technology entrepreneurship (2003) Research Policy, 32 (2), pp. 181-184;Siegel, R., Siegel, E., MacMillan, I.C., Corporate venture capitalists: autonomy, obstacles, and performance (1988) Journal of Business Venturing, 3 (3), pp. 233-247;Stuart, T., Sorenson, O., The geography of opportunity: spatial heterogeneity in founding rates and the performance of biotechnology firms (2003) Research Policy, 32 (2), pp. 229-253;Teece, D.J., Profiting from technological innovation: implications for integration, collaboration, licensing and public policy (1986) Research Policy, 15 (6), pp. 285-305;Tripsas, M., Unraveling the process of creative destruction: complementary assets and incumbent survival in the typesetter industry (1997) Strategic Management Journal, 18, pp. 119-142;T\u00c3\u00bcbke, A., (2005) Success Factors of Corporate Spin-Offs, , Springer, New York;Van Aken, J.E., Management research based on the paradigm of the design sciences: the quest for field-tested and grounded technological rules (2004) Journal of Management Studies, 41 (2), pp. 219-246;Van Burg, E., Romme, A.G.L., Gilsing, V.A., Reymen, I.M.M.J., Creating university spin-offs: a science-based design perspective (2008) Journal of Product Innovation Management, 25 (2), pp. 114-128;Van Looy, B., Ranga, M., Callaert, J., Debackere, K., Zimmermann, E., Combining entrepreneurial and scientific performance in academia: towards a compounded and reciprocal Matthew-effect? (2004) Research Policy, 33 (3), pp. 425-441;Vedovello, C., Science parks and university-industry interaction: geographical proximity between the agents as a driving force (1997) Technovation, 17 (9), pp. 491-502;Vohora, A., Wright, M., Lockett, A., Critical junctures in the development of university high-tech spinout companies (2004) Research Policy, 33 (1), pp. 147-175;Von Hippel, E., Successful and failing internal corporate ventures: an empirical analysis (1977) Industrial Marketing Management, 6 (3), pp. 163-174;Wallin, M.W., Lindholm Dahlstrand, A., Sponsored spin-offs, industrial growth and change (2006) Technovation, 26 (5-6), pp. 611-620;Wright, M., Clarysse, B., Lockett, A., Knockaert, M., Mid-range universities' linkages with industry: knowledge types and the role of intermediaries (2008) Research Policy, 37 (8), pp. 1205-1223;Zahra, S.A., Van de Velde, E., Larraneta, B., Knowledge conversion capability and the performance of corporate and university spin-offs (2007) Industrial and Corporate Change, 16 (4), pp. 569-608;Zucker, L.G., Darby, M.R., Brewer, M.B., Intellectual human capital and the birth of US biotechnology enterprises (1998) American Economic Review, 88 (1), pp. 290-306\n        \n      ", "page" : "12-23", "publisher" : "Elsevier", "title" : "Policy principles for the creation and success of corporate and academic spin-offs", "type" : "article-journal", "volume" : "30" }, "uris" : [ "http://www.mendeley.com/documents/?uuid=e65f5205-fa74-494f-9030-3334ff899393" ] } ], "mendeley" : { "previouslyFormattedCitation" : "(Gilsing et al., 2010)" }, "properties" : { "noteIndex" : 0 }, "schema" : "https://github.com/citation-style-language/schema/raw/master/csl-citation.json" }</w:instrText>
      </w:r>
      <w:r w:rsidR="003B0D24" w:rsidRPr="005D10C1">
        <w:rPr>
          <w:rStyle w:val="Textoennegrita"/>
          <w:rFonts w:ascii="Candara" w:hAnsi="Candara" w:cstheme="minorHAnsi"/>
        </w:rPr>
        <w:fldChar w:fldCharType="separate"/>
      </w:r>
      <w:r w:rsidR="00024969" w:rsidRPr="005D10C1">
        <w:rPr>
          <w:rStyle w:val="Textoennegrita"/>
          <w:rFonts w:ascii="Candara" w:hAnsi="Candara" w:cstheme="minorHAnsi"/>
          <w:noProof/>
        </w:rPr>
        <w:t>(Gilsing et al., 2010)</w:t>
      </w:r>
      <w:r w:rsidR="003B0D24" w:rsidRPr="005D10C1">
        <w:rPr>
          <w:rStyle w:val="Textoennegrita"/>
          <w:rFonts w:ascii="Candara" w:hAnsi="Candara" w:cstheme="minorHAnsi"/>
        </w:rPr>
        <w:fldChar w:fldCharType="end"/>
      </w:r>
      <w:r w:rsidRPr="005D10C1">
        <w:rPr>
          <w:rStyle w:val="Textoennegrita"/>
          <w:rFonts w:ascii="Candara" w:hAnsi="Candara" w:cstheme="minorHAnsi"/>
        </w:rPr>
        <w:t xml:space="preserve">. Los sistemas de innovación y emprendimiento </w:t>
      </w:r>
      <w:r w:rsidR="00FB2A60" w:rsidRPr="005D10C1">
        <w:rPr>
          <w:rStyle w:val="Textoennegrita"/>
          <w:rFonts w:ascii="Candara" w:hAnsi="Candara" w:cstheme="minorHAnsi"/>
        </w:rPr>
        <w:t xml:space="preserve">tienen </w:t>
      </w:r>
      <w:r w:rsidR="00F675C9" w:rsidRPr="005D10C1">
        <w:rPr>
          <w:rStyle w:val="Textoennegrita"/>
          <w:rFonts w:ascii="Candara" w:hAnsi="Candara" w:cstheme="minorHAnsi"/>
        </w:rPr>
        <w:t xml:space="preserve">agentes </w:t>
      </w:r>
      <w:r w:rsidRPr="005D10C1">
        <w:rPr>
          <w:rStyle w:val="Textoennegrita"/>
          <w:rFonts w:ascii="Candara" w:hAnsi="Candara" w:cstheme="minorHAnsi"/>
        </w:rPr>
        <w:t>como las incubadoras, universidades, parques tecnológicos y de investigación, las tecnópolis, el gobierno</w:t>
      </w:r>
      <w:r w:rsidR="007351F1" w:rsidRPr="005D10C1">
        <w:rPr>
          <w:rStyle w:val="Textoennegrita"/>
          <w:rFonts w:ascii="Candara" w:hAnsi="Candara" w:cstheme="minorHAnsi"/>
        </w:rPr>
        <w:t xml:space="preserve"> y los</w:t>
      </w:r>
      <w:r w:rsidRPr="005D10C1">
        <w:rPr>
          <w:rStyle w:val="Textoennegrita"/>
          <w:rFonts w:ascii="Candara" w:hAnsi="Candara" w:cstheme="minorHAnsi"/>
        </w:rPr>
        <w:t xml:space="preserve"> clústeres</w:t>
      </w:r>
      <w:r w:rsidR="0050738D" w:rsidRPr="005D10C1">
        <w:rPr>
          <w:rStyle w:val="Textoennegrita"/>
          <w:rFonts w:ascii="Candara" w:hAnsi="Candara" w:cstheme="minorHAnsi"/>
        </w:rPr>
        <w:t xml:space="preserve"> </w:t>
      </w:r>
      <w:r w:rsidR="003B0D24" w:rsidRPr="005D10C1">
        <w:rPr>
          <w:rStyle w:val="Textoennegrita"/>
          <w:rFonts w:ascii="Candara" w:hAnsi="Candara" w:cstheme="minorHAnsi"/>
        </w:rPr>
        <w:fldChar w:fldCharType="begin" w:fldLock="1"/>
      </w:r>
      <w:r w:rsidR="00CA1A09" w:rsidRPr="005D10C1">
        <w:rPr>
          <w:rStyle w:val="Textoennegrita"/>
          <w:rFonts w:ascii="Candara" w:hAnsi="Candara" w:cstheme="minorHAnsi"/>
        </w:rPr>
        <w:instrText>ADDIN CSL_CITATION { "citationItems" : [ { "id" : "ITEM-1", "itemData" : { "DOI" : "10.1016/j.technovation.2009.07.004", "ISSN" : "01664972", "abstract" : "Following a design science approach, this paper develops a framework of policy design principles for fostering technology entrepreneurship in a region. These principles are grounded in research findings and describe the factors and causal mechanisms that explain the founding and success rates of both corporate and academic spin-offs. We differentiate between principles that serve the creation of spin-offs versus those focusing on their subsequent chances of success. We provide an in-depth empirical application of this framework to spin-off policy in the regions of Eindhoven and Leuven. This application of the framework serves to assess the extent to which standing spin-off policy in both regions is (1) up-to-date, (2) comprehensive as well as (3) sufficiently robust against 'policy fashions'. Several directions for redesigning spin-off policy follow from this assessment. \u00a9 2009 Elsevier Ltd. All rights reserved.", "author" : [ { "dropping-particle" : "", "family" : "Gilsing", "given" : "Victor A.", "non-dropping-particle" : "", "parse-names" : false, "suffix" : "" }, { "dropping-particle" : "", "family" : "Burg", "given" : "Elco", "non-dropping-particle" : "van", "parse-names" : false, "suffix" : "" }, { "dropping-particle" : "", "family" : "Romme", "given" : "Georges L.", "non-dropping-particle" : "", "parse-names" : false, "suffix" : "" } ], "container-title" : "Technovation", "id" : "ITEM-1", "issue" : "1", "issued" : { "date-parts" : [ [ "2010", "1" ] ] }, "note" : "        From Duplicate 2 (                           Policy principles for the creation and success of corporate and academic spin-offs                         - Gilsing, Victor A.; van Burg, Elco; Romme, A. Georges L. )\n                \nFollowing a design science approach, this paper develops a framework of policy design principles for fostering technology entrepreneurship in a region. These principles are grounded in research findings and describe the factors and causal mechanisms that explain the founding and success rates of both corporate and academic spin-offs. We differentiate between principles that serve the creation of spin-offs versus those focusing on their subsequent chances of success. We provide an in-depth empirical application of this framework to spin-off policy in the regions of Eindhoven and Leuven. This application of the framework serves to assess the extent to which standing spin-off policy in both regions is (1) up-to-date, (2) comprehensive as well as (3) sufficiently robust against [`]policy fashions'. Several directions for redesigning spin-off policy follow from this assessment.\n        \n        From Duplicate 3 (                           Policy principles for the creation and success of corporate and academic spin-offs                         - Gilsing, V.A.; van Burg, E.; Romme, A.G.L. )\n                \nSource: Scopus\n----------\nCited By (since 1996): 4\n----------\nExport Date: 18 March 2011\n----------\nFollowing a design science approach, this paper develops a framework of policy design principles for fostering technology entrepreneurship in a region. These principles are grounded in research findings and describe the factors and causal mechanisms that explain the founding and success rates of both corporate and academic spin-offs. We differentiate between principles that serve the creation of spin-offs versus those focusing on their subsequent chances of success. We provide an in-depth empirical application of this framework to spin-off policy in the regions of Eindhoven and Leuven. This application of the framework serves to assess the extent to which standing spin-off policy in both regions is (1) up-to-date, (2) comprehensive as well as (3) sufficiently robust against 'policy fashions'. Several directions for redesigning spin-off policy follow from this assessment. \u00c2\u00a9 2009 Elsevier Ltd. All rights reserved.\n----------\nReferences: Aldrich, H.E., Fiol, C.M., Fools rush in? The institutional context of industry creation (1994) Academy of Management Review, 19 (4), pp. 645-670;Anton, J.J., Yao, D.A., Start-ups, spin-offs, and internal projects (1995) Journal of Law, Economics, and Organization, 11 (2), pp. 362-378;Asheim, B.T., Coenen, L., Knowledge bases and regional innovation systems: comparing Nordic clusters (2005) Research Policy, 34 (8), pp. 1173-1190;Asheim, B.T., Gertler, M.S., The geography of innovation: regional innovation systems (2005) The Oxford Handbook of Innovation, pp. 291-317. , Fagerberg J., Mowery D.C., and Nelson R.R. (Eds), Oxford University Press, Oxford;Audretsch, D.B., Stephan, P.E., Company-scientist locational links: the case of biotechnology (1996) The American Economic Review, 86 (3), pp. 641-652;Bekkers, R., Gilsing, V., van der Steen, M., Determining factors of the effectiveness of IP-based spin-offs: comparing the Netherlands and the US (2006) Journal of Technology Transfer, 31 (5), pp. 545-566;Bergek, A., Norrman, C., Incubator best practice: a framework (2008) Technovation, 28 (1-2), pp. 20-28;Bower, D.J., Business model fashion and the academic spinout firm (2003) R&amp;D Management, 33 (2), pp. 97-106;Breschi, S., Malerba, F., Sectoral innovation systems: technological regimes, Schumpetarian dynamics and spatial boundaries (1997) Systems of Innovation, Technologies, Institutions and Organizations, , Edquist C. (Ed), Pinter, London;Chesbrough, H., (2003) Open innovation: the new imperative for creating and profiting from technology, , Harvard Business School Press, Harvard (MA);Chesbrough, H., Tucci, C.L., (2005) Corporate venture capital in the context of corporate innovation, , EPFL Working Paper Lausanne;Christensen, C., (1997) The Innovator's Dilemma, , Harvard Business School Press, Cambridge (MA);Christensen, C.M., Bower, J., Customer power, strategic investment, and the failure of leading firms (1996) Strategic Management Journal, 17 (3), pp. 197-218;Clarysse, B., Wright, M., Lockett, A., Van de Velde, E., Vohora, A., Spinning out new ventures: a typology of incubation strategies from European research institutions (2005) Journal of Business Venturing, 20 (2), pp. 183-216;Cohen, W.M., Levinthal, D.A., Absorptive capacity: a new perspective on learning and innovation (1990) Administrative Science Quarterly, 35 (1), pp. 128-152;Coriat, B., Weinstein, O., National institutional frameworks, institutional complementarities and sectoral systems of innovation (2004) Sectoral Systems of Innovation: Concepts, Issues and Analyses of Six Major Sectors in Europe, , Malerba F. (Ed), Cambridge University Press, Cambridge;Debackere, K., Managing academic R&amp;D as a business at K.U. Leuven: context, structure and process (2000) R&amp;D Management, 30 (4), pp. 323-328;Debackere, K., Veugelers, R., The role of academic technology transfer organizations in improving industry science links (2005) Research Policy, 34 (3), pp. 321-342;Denyer, D., Tranfield, D., Van Aken, J.E., Developing design propositions through research synthesis (2008) Organization Studies, 29 (3), pp. 393-413;Di Gregorio, D., Shane, S., Why do some universities generate more start-ups than others? (2003) Research Policy, 32 (2), pp. 209-227;Djokovic, D., Souitaris, V., Spinouts from academic institutions: a literature review with suggestions for further research (2008) Journal of Technology Transfer, 33 (3), pp. 225-247;Dosi, G., Freeman, C., Nelson, R.R., Silverberg, G., Soete, L., (1988) Technical Change and Economic Theory, , Pinter, London;Dushnitsky, G., Lenox, M.J., When do firms undertake R&amp;D by investing in new ventures? (2005) Strategic Management Journal, 26 (10), pp. 947-965;Etzkowitz, H., Klofsten, M., The innovating region: toward a theory of knowledge-based regional development (2005) R&amp;D Management, 35 (3), pp. 243-255;Friedman, J., Silberman, J., University technology transfer: do incentives, management, and location matter? (2003) Journal of Technology Transfer, 28 (1), pp. 17-30;Gans, J.S., Stern, S., The product market and the market for \"ideas\": commercialization strategies for technology entrepreneurs (2003) Research Policy, 32 (2), pp. 333-350;Gilsing, V., Nooteboom, B., Exploration and exploitation in innovation systems: the case of pharmaceutical biotechnology (2006) Research Policy, 35 (1), pp. 1-23;Grimaldi, R., Grandi, A., Business incubators and new venture creation: an assessment of incubating models (2005) Technovation, 25 (2), pp. 111-121;Groenewegen, J., van der Steen, M., The evolution of national innovation systems (2006) Journal of Economic Issues, 40 (2), pp. 277-285;Hackett, S.M., Dilts, D.M., A systematic review of business incubation research (2004) Journal of Technology Transfer, 29 (1), pp. 55-82;Hellman, T., (1996) A theory of corporate investing, , Stanford Working Paper;Hindle, K., Yencken, J., Public research commercialisation, entrepreneurship and new technology based firms: an integrated model (2004) Technovation, 24 (10), pp. 793-803;Hollanders, H., European regional innovation scoreboard (2006) European Trend Chart on Innovation 2006;Johnson, W.H.A., Roles, resources and benefits of intermediate organizations supporting triple helix collaborative R&amp;D: the case of Precarn (2008) Technovation, 28 (8), pp. 495-505;Katila, R., Mang, P.Y., Exploiting technological opportunities: the timing of collaborations (2003) Research Policy, 32 (2), pp. 317-332;Keil, T., (2002) External Corporate Venturing: Strategic Renewal in Rapidly Changing Industries, , Quorum Books, Westport (CT);Kirwan, P., van der Sijde, P., Groen, A., Assessing the needs of new technology based firms (NTBFs): an investigation among spin-off companies from six European Universities (2006) The International Entrepreneurship and Management Journal, 2 (2), pp. 173-187;Lecocq, C., Van Looy, B., Zimmermann, E., Developing the support infrastructure of technology transfer offices to accommodate the needs of global spin-off companies (outline of a methodology applied within the GlobalStart project) (2008) International Journal of Globalisation and Small Business, , forthcoming;Levinthal, D.A., March, J.G., The myopia of learning (1993) Strategic Management Journal, 14, pp. 95-112;Lockett, A., Siegel, D., Wright, M., Ensley, M.D., The creation of spin-off firms at public research institutions: managerial and policy implications (2005) Research Policy, 34 (7), pp. 981-993;Lockett, A., Wright, M., Resources, capabilities, risk capital and the creation of university spin-out companies (2005) Research Policy, 34 (7), pp. 1043-1057;Lofsten, H., Lindelof, P., R&amp;D networks and product innovation patterns: academic and non-academic new technology-based firms on Science Parks (2005) Technovation, 25 (9), pp. 1025-1037;Marsili, O., (2001) The Anatomy and Evolution of Industries, Technological Change and Industrial Dynamics, , Edward Elgar, Cheltenham;Meyer, M., Academic entrepreneurs or entrepreneurial academics? Research-based ventures and public support mechanisms (2003) R&amp;D Management, 33 (2), pp. 107-115;Mowery, D.C., Nelson, R.R., Sampat, B.N., Ziedonis, A.A., (2004) Ivory Tower and Industrial Innovation: University-Industry Technology Transfer Before and After the Bayh-Dole Act, , Stanford Business Books, Stanford;Nelson, R.N., Observations on the post Bayh-Dole rising of patenting at American universities (2001) Journal of Technology Transfer, 26, pp. 13-19;Nooteboom, B., (2000) Learning and Innovation in Organizations and Economics, , Oxford University Press, Oxford;O'Gorman, C., Stimulating high-tech venture creation (2003) R&amp;D Management, 33 (2), pp. 177-187;O'Shea, R., Allen, T.J., O'Gorman, C., Roche, F., Universities and technology transfer: a review of academic entrepreneurship literature (2004) Irish Journal of Management, 25 (2), pp. 11-29;Parhankangas, A., Arenius, P., From a corporate venture to an independent company: a base for a taxonomy for corporate spin-off firms (2003) Research Policy, 32 (3), pp. 463-481;Pavitt, K., Sectoral patterns of technical change: towards a taxonomy and a theory (1984) Research Policy, 13 (6), pp. 343-373;Phan, P.H., Siegel, D.S., Wright, M., Science parks and incubators: observations, synthesis and future research (2005) Journal of Business Venturing, 20 (2), pp. 165-182;Polt, W., Benchmarking industry science relations: The role of framework conditions (2001), Final Report Prepared for EC, DG EnterprisePowers, J.B., McDougall, P.P., University start-up formation and technology licensing with firms that go public: a resource-based view of academic entrepreneurship (2005) Journal of Business Venturing, 20 (3), pp. 291-311;Rasmussen, E., Government instruments to support the commercialization of university research: lessons from Canada (2008) Technovation, 28 (8), pp. 506-517;Rasmussen, E., Moen, \u00c3\u02dc., Gulbrandsen, M., Initiatives to promote commercialization of university knowledge (2006) Technovation, 26 (4), pp. 518-533;Roberts, E.B., Malone, D.E., Policies and structures for spinning off new companies from research and development organizations (1996) R&amp;D Management, 26 (1), pp. 17-48;Romme, A.G.L., Making a difference: organization as design (2003) Organization Science, 14 (5), pp. 558-573;Romme, A.G.L., Endenburg, G., Construction principles and design rules in the case of circular design (2006) Organization Science, 17 (2), pp. 287-297;Rothaermel, F.T., Incumbent's advantage through exploiting complementary assets via interfirm cooperation (2001) Strategic Management Journal, 22 (6-7), p. 687;Rothaermel, F.T., Agung, S.D., Jiang, L., University entrepreneurship: a taxonomy of the literature (2007) Industrial and Corporate Change, 16 (4), pp. 691-791;Saxenian, A., (1996) Regional Advantage: Culture and Competition in Silicon Valley and Route 128, , Harvard University Press, Cambridge, MA;Shane, S., Technology regimes and new firm formation (2001) Management Science, 47 (9), pp. 1173-1190;Shane, S., Selling university technology: patterns from MIT (2002) Management Science, 48 (1), pp. 122-137;Shane, S., (2004) Academic Entrepreneurship: University Spin-Offs and Wealth Creation, , Edward Elgar, Cheltenham and Northampton, MA;Shane, S., Venkataraman, S., Guest editors' introduction to the special issue on technology entrepreneurship (2003) Research Policy, 32 (2), pp. 181-184;Siegel, R., Siegel, E., MacMillan, I.C., Corporate venture capitalists: autonomy, obstacles, and performance (1988) Journal of Business Venturing, 3 (3), pp. 233-247;Stuart, T., Sorenson, O., The geography of opportunity: spatial heterogeneity in founding rates and the performance of biotechnology firms (2003) Research Policy, 32 (2), pp. 229-253;Teece, D.J., Profiting from technological innovation: implications for integration, collaboration, licensing and public policy (1986) Research Policy, 15 (6), pp. 285-305;Tripsas, M., Unraveling the process of creative destruction: complementary assets and incumbent survival in the typesetter industry (1997) Strategic Management Journal, 18, pp. 119-142;T\u00c3\u00bcbke, A., (2005) Success Factors of Corporate Spin-Offs, , Springer, New York;Van Aken, J.E., Management research based on the paradigm of the design sciences: the quest for field-tested and grounded technological rules (2004) Journal of Management Studies, 41 (2), pp. 219-246;Van Burg, E., Romme, A.G.L., Gilsing, V.A., Reymen, I.M.M.J., Creating university spin-offs: a science-based design perspective (2008) Journal of Product Innovation Management, 25 (2), pp. 114-128;Van Looy, B., Ranga, M., Callaert, J., Debackere, K., Zimmermann, E., Combining entrepreneurial and scientific performance in academia: towards a compounded and reciprocal Matthew-effect? (2004) Research Policy, 33 (3), pp. 425-441;Vedovello, C., Science parks and university-industry interaction: geographical proximity between the agents as a driving force (1997) Technovation, 17 (9), pp. 491-502;Vohora, A., Wright, M., Lockett, A., Critical junctures in the development of university high-tech spinout companies (2004) Research Policy, 33 (1), pp. 147-175;Von Hippel, E., Successful and failing internal corporate ventures: an empirical analysis (1977) Industrial Marketing Management, 6 (3), pp. 163-174;Wallin, M.W., Lindholm Dahlstrand, A., Sponsored spin-offs, industrial growth and change (2006) Technovation, 26 (5-6), pp. 611-620;Wright, M., Clarysse, B., Lockett, A., Knockaert, M., Mid-range universities' linkages with industry: knowledge types and the role of intermediaries (2008) Research Policy, 37 (8), pp. 1205-1223;Zahra, S.A., Van de Velde, E., Larraneta, B., Knowledge conversion capability and the performance of corporate and university spin-offs (2007) Industrial and Corporate Change, 16 (4), pp. 569-608;Zucker, L.G., Darby, M.R., Brewer, M.B., Intellectual human capital and the birth of US biotechnology enterprises (1998) American Economic Review, 88 (1), pp. 290-306\n        \n                  \nFrom Duplicate 4 (                           Policy principles for the creation and success of corporate and academic spin-offs                         - Gilsing, V.A.; van Burg, E.; Romme, A.G.L. )\n                \nCited By (since 1996): 4\n----------\nSource: Scopus\n----------\nExport Date: 18 March 2011\n----------\nFollowing a design science approach, this paper develops a framework of policy design principles for fostering technology entrepreneurship in a region. These principles are grounded in research findings and describe the factors and causal mechanisms that explain the founding and success rates of both corporate and academic spin-offs. We differentiate between principles that serve the creation of spin-offs versus those focusing on their subsequent chances of success. We provide an in-depth empirical application of this framework to spin-off policy in the regions of Eindhoven and Leuven. This application of the framework serves to assess the extent to which standing spin-off policy in both regions is (1) up-to-date, (2) comprehensive as well as (3) sufficiently robust against 'policy fashions'. Several directions for redesigning spin-off policy follow from this assessment. \u00c2\u00a9 2009 Elsevier Ltd. All rights reserved.\n        \n                  \nFrom Duplicate 7 (                           Policy principles for the creation and success of corporate and academic spin-offs                         - Gilsing, V.A.; van Burg, E.; Romme, A.G.L. )\n                \nExport Date: 18 March 2011\n----------\nSource: Scopus\n----------\nFollowing a design science approach, this paper develops a framework of policy design principles for fostering technology entrepreneurship in a region. These principles are grounded in research findings and describe the factors and causal mechanisms that explain the founding and success rates of both corporate and academic spin-offs. We differentiate between principles that serve the creation of spin-offs versus those focusing on their subsequent chances of success. We provide an in-depth empirical application of this framework to spin-off policy in the regions of Eindhoven and Leuven. This application of the framework serves to assess the extent to which standing spin-off policy in both regions is (1) up-to-date, (2) comprehensive as well as (3) sufficiently robust against 'policy fashions'. Several directions for redesigning spin-off policy follow from this assessment. \u00c2\u00a9 2009 Elsevier Ltd. All rights reserved.\n----------\nCited By (since 1996): 4\n----------\nReferences: Aldrich, H.E., Fiol, C.M., Fools rush in? The institutional context of industry creation (1994) Academy of Management Review, 19 (4), pp. 645-670;Anton, J.J., Yao, D.A., Start-ups, spin-offs, and internal projects (1995) Journal of Law, Economics, and Organization, 11 (2), pp. 362-378;Asheim, B.T., Coenen, L., Knowledge bases and regional innovation systems: comparing Nordic clusters (2005) Research Policy, 34 (8), pp. 1173-1190;Asheim, B.T., Gertler, M.S., The geography of innovation: regional innovation systems (2005) The Oxford Handbook of Innovation, pp. 291-317. , Fagerberg J., Mowery D.C., and Nelson R.R. (Eds), Oxford University Press, Oxford;Audretsch, D.B., Stephan, P.E., Company-scientist locational links: the case of biotechnology (1996) The American Economic Review, 86 (3), pp. 641-652;Bekkers, R., Gilsing, V., van der Steen, M., Determining factors of the effectiveness of IP-based spin-offs: comparing the Netherlands and the US (2006) Journal of Technology Transfer, 31 (5), pp. 545-566;Bergek, A., Norrman, C., Incubator best practice: a framework (2008) Technovation, 28 (1-2), pp. 20-28;Bower, D.J., Business model fashion and the academic spinout firm (2003) R&amp;D Management, 33 (2), pp. 97-106;Breschi, S., Malerba, F., Sectoral innovation systems: technological regimes, Schumpetarian dynamics and spatial boundaries (1997) Systems of Innovation, Technologies, Institutions and Organizations, , Edquist C. (Ed), Pinter, London;Chesbrough, H., (2003) Open innovation: the new imperative for creating and profiting from technology, , Harvard Business School Press, Harvard (MA);Chesbrough, H., Tucci, C.L., (2005) Corporate venture capital in the context of corporate innovation, , EPFL Working Paper Lausanne;Christensen, C., (1997) The Innovator's Dilemma, , Harvard Business School Press, Cambridge (MA);Christensen, C.M., Bower, J., Customer power, strategic investment, and the failure of leading firms (1996) Strategic Management Journal, 17 (3), pp. 197-218;Clarysse, B., Wright, M., Lockett, A., Van de Velde, E., Vohora, A., Spinning out new ventures: a typology of incubation strategies from European research institutions (2005) Journal of Business Venturing, 20 (2), pp. 183-216;Cohen, W.M., Levinthal, D.A., Absorptive capacity: a new perspective on learning and innovation (1990) Administrative Science Quarterly, 35 (1), pp. 128-152;Coriat, B., Weinstein, O., National institutional frameworks, institutional complementarities and sectoral systems of innovation (2004) Sectoral Systems of Innovation: Concepts, Issues and Analyses of Six Major Sectors in Europe, , Malerba F. (Ed), Cambridge University Press, Cambridge;Debackere, K., Managing academic R&amp;D as a business at K.U. Leuven: context, structure and process (2000) R&amp;D Management, 30 (4), pp. 323-328;Debackere, K., Veugelers, R., The role of academic technology transfer organizations in improving industry science links (2005) Research Policy, 34 (3), pp. 321-342;Denyer, D., Tranfield, D., Van Aken, J.E., Developing design propositions through research synthesis (2008) Organization Studies, 29 (3), pp. 393-413;Di Gregorio, D., Shane, S., Why do some universities generate more start-ups than others? (2003) Research Policy, 32 (2), pp. 209-227;Djokovic, D., Souitaris, V., Spinouts from academic institutions: a literature review with suggestions for further research (2008) Journal of Technology Transfer, 33 (3), pp. 225-247;Dosi, G., Freeman, C., Nelson, R.R., Silverberg, G., Soete, L., (1988) Technical Change and Economic Theory, , Pinter, London;Dushnitsky, G., Lenox, M.J., When do firms undertake R&amp;D by investing in new ventures? (2005) Strategic Management Journal, 26 (10), pp. 947-965;Etzkowitz, H., Klofsten, M., The innovating region: toward a theory of knowledge-based regional development (2005) R&amp;D Management, 35 (3), pp. 243-255;Friedman, J., Silberman, J., University technology transfer: do incentives, management, and location matter? (2003) Journal of Technology Transfer, 28 (1), pp. 17-30;Gans, J.S., Stern, S., The product market and the market for \"ideas\": commercialization strategies for technology entrepreneurs (2003) Research Policy, 32 (2), pp. 333-350;Gilsing, V., Nooteboom, B., Exploration and exploitation in innovation systems: the case of pharmaceutical biotechnology (2006) Research Policy, 35 (1), pp. 1-23;Grimaldi, R., Grandi, A., Business incubators and new venture creation: an assessment of incubating models (2005) Technovation, 25 (2), pp. 111-121;Groenewegen, J., van der Steen, M., The evolution of national innovation systems (2006) Journal of Economic Issues, 40 (2), pp. 277-285;Hackett, S.M., Dilts, D.M., A systematic review of business incubation research (2004) Journal of Technology Transfer, 29 (1), pp. 55-82;Hellman, T., (1996) A theory of corporate investing, , Stanford Working Paper;Hindle, K., Yencken, J., Public research commercialisation, entrepreneurship and new technology based firms: an integrated model (2004) Technovation, 24 (10), pp. 793-803;Hollanders, H., European regional innovation scoreboard (2006) European Trend Chart on Innovation 2006;Johnson, W.H.A., Roles, resources and benefits of intermediate organizations supporting triple helix collaborative R&amp;D: the case of Precarn (2008) Technovation, 28 (8), pp. 495-505;Katila, R., Mang, P.Y., Exploiting technological opportunities: the timing of collaborations (2003) Research Policy, 32 (2), pp. 317-332;Keil, T., (2002) External Corporate Venturing: Strategic Renewal in Rapidly Changing Industries, , Quorum Books, Westport (CT);Kirwan, P., van der Sijde, P., Groen, A., Assessing the needs of new technology based firms (NTBFs): an investigation among spin-off companies from six European Universities (2006) The International Entrepreneurship and Management Journal, 2 (2), pp. 173-187;Lecocq, C., Van Looy, B., Zimmermann, E., Developing the support infrastructure of technology transfer offices to accommodate the needs of global spin-off companies (outline of a methodology applied within the GlobalStart project) (2008) International Journal of Globalisation and Small Business, , forthcoming;Levinthal, D.A., March, J.G., The myopia of learning (1993) Strategic Management Journal, 14, pp. 95-112;Lockett, A., Siegel, D., Wright, M., Ensley, M.D., The creation of spin-off firms at public research institutions: managerial and policy implications (2005) Research Policy, 34 (7), pp. 981-993;Lockett, A., Wright, M., Resources, capabilities, risk capital and the creation of university spin-out companies (2005) Research Policy, 34 (7), pp. 1043-1057;Lofsten, H., Lindelof, P., R&amp;D networks and product innovation patterns: academic and non-academic new technology-based firms on Science Parks (2005) Technovation, 25 (9), pp. 1025-1037;Marsili, O., (2001) The Anatomy and Evolution of Industries, Technological Change and Industrial Dynamics, , Edward Elgar, Cheltenham;Meyer, M., Academic entrepreneurs or entrepreneurial academics? Research-based ventures and public support mechanisms (2003) R&amp;D Management, 33 (2), pp. 107-115;Mowery, D.C., Nelson, R.R., Sampat, B.N., Ziedonis, A.A., (2004) Ivory Tower and Industrial Innovation: University-Industry Technology Transfer Before and After the Bayh-Dole Act, , Stanford Business Books, Stanford;Nelson, R.N., Observations on the post Bayh-Dole rising of patenting at American universities (2001) Journal of Technology Transfer, 26, pp. 13-19;Nooteboom, B., (2000) Learning and Innovation in Organizations and Economics, , Oxford University Press, Oxford;O'Gorman, C., Stimulating high-tech venture creation (2003) R&amp;D Management, 33 (2), pp. 177-187;O'Shea, R., Allen, T.J., O'Gorman, C., Roche, F., Universities and technology transfer: a review of academic entrepreneurship literature (2004) Irish Journal of Management, 25 (2), pp. 11-29;Parhankangas, A., Arenius, P., From a corporate venture to an independent company: a base for a taxonomy for corporate spin-off firms (2003) Research Policy, 32 (3), pp. 463-481;Pavitt, K., Sectoral patterns of technical change: towards a taxonomy and a theory (1984) Research Policy, 13 (6), pp. 343-373;Phan, P.H., Siegel, D.S., Wright, M., Science parks and incubators: observations, synthesis and future research (2005) Journal of Business Venturing, 20 (2), pp. 165-182;Polt, W., Benchmarking industry science relations: The role of framework conditions (2001), Final Report Prepared for EC, DG EnterprisePowers, J.B., McDougall, P.P., University start-up formation and technology licensing with firms that go public: a resource-based view of academic entrepreneurship (2005) Journal of Business Venturing, 20 (3), pp. 291-311;Rasmussen, E., Government instruments to support the commercialization of university research: lessons from Canada (2008) Technovation, 28 (8), pp. 506-517;Rasmussen, E., Moen, \u00c3\u02dc., Gulbrandsen, M., Initiatives to promote commercialization of university knowledge (2006) Technovation, 26 (4), pp. 518-533;Roberts, E.B., Malone, D.E., Policies and structures for spinning off new companies from research and development organizations (1996) R&amp;D Management, 26 (1), pp. 17-48;Romme, A.G.L., Making a difference: organization as design (2003) Organization Science, 14 (5), pp. 558-573;Romme, A.G.L., Endenburg, G., Construction principles and design rules in the case of circular design (2006) Organization Science, 17 (2), pp. 287-297;Rothaermel, F.T., Incumbent's advantage through exploiting complementary assets via interfirm cooperation (2001) Strategic Management Journal, 22 (6-7), p. 687;Rothaermel, F.T., Agung, S.D., Jiang, L., University entrepreneurship: a taxonomy of the literature (2007) Industrial and Corporate Change, 16 (4), pp. 691-791;Saxenian, A., (1996) Regional Advantage: Culture and Competition in Silicon Valley and Route 128, , Harvard University Press, Cambridge, MA;Shane, S., Technology regimes and new firm formation (2001) Management Science, 47 (9), pp. 1173-1190;Shane, S., Selling university technology: patterns from MIT (2002) Management Science, 48 (1), pp. 122-137;Shane, S., (2004) Academic Entrepreneurship: University Spin-Offs and Wealth Creation, , Edward Elgar, Cheltenham and Northampton, MA;Shane, S., Venkataraman, S., Guest editors' introduction to the special issue on technology entrepreneurship (2003) Research Policy, 32 (2), pp. 181-184;Siegel, R., Siegel, E., MacMillan, I.C., Corporate venture capitalists: autonomy, obstacles, and performance (1988) Journal of Business Venturing, 3 (3), pp. 233-247;Stuart, T., Sorenson, O., The geography of opportunity: spatial heterogeneity in founding rates and the performance of biotechnology firms (2003) Research Policy, 32 (2), pp. 229-253;Teece, D.J., Profiting from technological innovation: implications for integration, collaboration, licensing and public policy (1986) Research Policy, 15 (6), pp. 285-305;Tripsas, M., Unraveling the process of creative destruction: complementary assets and incumbent survival in the typesetter industry (1997) Strategic Management Journal, 18, pp. 119-142;T\u00c3\u00bcbke, A., (2005) Success Factors of Corporate Spin-Offs, , Springer, New York;Van Aken, J.E., Management research based on the paradigm of the design sciences: the quest for field-tested and grounded technological rules (2004) Journal of Management Studies, 41 (2), pp. 219-246;Van Burg, E., Romme, A.G.L., Gilsing, V.A., Reymen, I.M.M.J., Creating university spin-offs: a science-based design perspective (2008) Journal of Product Innovation Management, 25 (2), pp. 114-128;Van Looy, B., Ranga, M., Callaert, J., Debackere, K., Zimmermann, E., Combining entrepreneurial and scientific performance in academia: towards a compounded and reciprocal Matthew-effect? (2004) Research Policy, 33 (3), pp. 425-441;Vedovello, C., Science parks and university-industry interaction: geographical proximity between the agents as a driving force (1997) Technovation, 17 (9), pp. 491-502;Vohora, A., Wright, M., Lockett, A., Critical junctures in the development of university high-tech spinout companies (2004) Research Policy, 33 (1), pp. 147-175;Von Hippel, E., Successful and failing internal corporate ventures: an empirical analysis (1977) Industrial Marketing Management, 6 (3), pp. 163-174;Wallin, M.W., Lindholm Dahlstrand, A., Sponsored spin-offs, industrial growth and change (2006) Technovation, 26 (5-6), pp. 611-620;Wright, M., Clarysse, B., Lockett, A., Knockaert, M., Mid-range universities' linkages with industry: knowledge types and the role of intermediaries (2008) Research Policy, 37 (8), pp. 1205-1223;Zahra, S.A., Van de Velde, E., Larraneta, B., Knowledge conversion capability and the performance of corporate and university spin-offs (2007) Industrial and Corporate Change, 16 (4), pp. 569-608;Zucker, L.G., Darby, M.R., Brewer, M.B., Intellectual human capital and the birth of US biotechnology enterprises (1998) American Economic Review, 88 (1), pp. 290-306\n        \n      ", "page" : "12-23", "publisher" : "Elsevier", "title" : "Policy principles for the creation and success of corporate and academic spin-offs", "type" : "article-journal", "volume" : "30" }, "uris" : [ "http://www.mendeley.com/documents/?uuid=e65f5205-fa74-494f-9030-3334ff899393" ] }, { "id" : "ITEM-2", "itemData" : { "DOI" : "10.1016/S0883-9026(98)00006-8", "ISSN" : "08839026", "author" : [ { "dropping-particle" : "", "family" : "Steffensen", "given" : "M", "non-dropping-particle" : "", "parse-names" : false, "suffix" : "" }, { "dropping-particle" : "", "family" : "Rogers", "given" : "Everett", "non-dropping-particle" : "", "parse-names" : false, "suffix" : "" }, { "dropping-particle" : "", "family" : "Speakman", "given" : "Kristen", "non-dropping-particle" : "", "parse-names" : false, "suffix" : "" } ], "container-title" : "Journal of Business Venturing", "id" : "ITEM-2", "issue" : "1", "issued" : { "date-parts" : [ [ "1999", "1", "2" ] ] }, "page" : "93-111", "title" : "Spin-offs from research centers at a research university", "type" : "article-journal", "volume" : "15" }, "uris" : [ "http://www.mendeley.com/documents/?uuid=30bc2d01-db53-482c-9fee-13c4207af044" ] }, { "id" : "ITEM-3", "itemData" : { "DOI" : "10.1007/s10961-008-9088-9", "ISSN" : "0892-9912", "author" : [ { "dropping-particle" : "", "family" : "Zhang", "given" : "Junfu", "non-dropping-particle" : "", "parse-names" : false, "suffix" : "" } ], "container-title" : "The Journal of Technology Transfer", "id" : "ITEM-3", "issue" : "3", "issued" : { "date-parts" : [ [ "2008", "4", "8" ] ] }, "page" : "255-285", "title" : "The performance of university spin-offs: an exploratory analysis using venture capital data", "type" : "article-journal", "volume" : "34" }, "uris" : [ "http://www.mendeley.com/documents/?uuid=a0d4839c-f428-4b38-a74d-ed51b5b073a3" ] }, { "id" : "ITEM-4", "itemData" : { "DOI" : "10.1007/s10961-011-9241-8", "ISSN" : "0892-9912", "author" : [ { "dropping-particle" : "", "family" : "Algieri", "given" : "Bernardina.", "non-dropping-particle" : "", "parse-names" : false, "suffix" : "" }, { "dropping-particle" : "", "family" : "Aquino", "given" : "Antonio.", "non-dropping-particle" : "", "parse-names" : false, "suffix" : "" }, { "dropping-particle" : "", "family" : "Succurro", "given" : "Marianna.", "non-dropping-particle" : "", "parse-names" : false, "suffix" : "" } ], "container-title" : "The Journal of Technology Transfer", "id" : "ITEM-4", "issued" : { "date-parts" : [ [ "2011", "11", "25" ] ] }, "title" : "Technology transfer offices and academic spin-off creation: the case of Italy", "type" : "article-journal" }, "uris" : [ "http://www.mendeley.com/documents/?uuid=71108eec-4785-477c-9c6f-f7cfe50e8848" ] }, { "id" : "ITEM-5", "itemData" : { "author" : [ { "dropping-particle" : "", "family" : "Fini", "given" : "R.", "non-dropping-particle" : "", "parse-names" : false, "suffix" : "" }, { "dropping-particle" : "", "family" : "Grimaldi", "given" : "R.", "non-dropping-particle" : "", "parse-names" : false, "suffix" : "" }, { "dropping-particle" : "", "family" : "Sobrero", "given" : "M.", "non-dropping-particle" : "", "parse-names" : false, "suffix" : "" } ], "container-title" : "Journal of Technology Transfer", "id" : "ITEM-5", "issue" : "4", "issued" : { "date-parts" : [ [ "2009" ] ] }, "note" : "Source: Scopus\n----------\nWhy do university researchers decide to start-up a new venture? How can we distinguish between the different factors influencing such an important decision? To what extent are specific policies activated within universities relevant in the process of new venture creation? In this paper we try to answer these very significant questions, through an empirical analysis performed on a sample of 88 Italian academics involved in the creation of 47 spin-offs between 1999 and 2005. Our findings show that the availability of technologies with a potential for commercial exploitation, the possibility to access university infrastructures and the personal benefits are the most important incentives for academics. More generally, academics' involvement in creating new ventures is not driven by an entrepreneurial attitude, but rather by the expectation of generating results which will enhance their academic position. Additional investments and efforts made by some universities to create more mechanisms to support spin-offs are not perceived as additional incentives. These results hold after controlling for academic founders' institutional affiliation, status, and the companies' growth over their first two years of existence. Implications for public policy and organizational processes are discussed. \u00c2\u00a9 Springer Science+Business Media, LLC 2008.\n----------\nExport Date: 18 March 2011\n----------\nCited By (since 1996): 4", "page" : "380-402", "title" : "Factors fostering academics to start up new ventures: An assessment of Italian founders' incentives", "type" : "article-journal", "volume" : "34" }, "uris" : [ "http://www.mendeley.com/documents/?uuid=ba7a3d23-2428-497b-8853-01ad92ff22e0" ] }, { "id" : "ITEM-6", "itemData" : { "author" : [ { "dropping-particle" : "", "family" : "Raday", "given" : "Gabor", "non-dropping-particle" : "", "parse-names" : false, "suffix" : "" } ], "container-title" : "Quantitative Finance", "id" : "ITEM-6", "issued" : { "date-parts" : [ [ "2008" ] ] }, "note" : "        From Duplicate 1 (                   Academic Spin-off Ventures and Corporate Spin-off Firms at the High-Tech Industries                 - Raday, Gabor )\n                \n        \n        \n        From Duplicate 2 (                   Academic Spin-off Ventures and Corporate Spin-off Firms at the High-Tech Industries                 - Raday, Gabor )\n                \nSeis aspectos fueron investigados: raz\u00f3n de ser, gesti\u00f3n, inversi\u00f3n, redes, locaci\u00f3n y relaci\u00f3n co</w:instrText>
      </w:r>
      <w:r w:rsidR="00CA1A09" w:rsidRPr="005D10C1">
        <w:rPr>
          <w:rStyle w:val="Textoennegrita"/>
          <w:rFonts w:ascii="Candara" w:hAnsi="Candara" w:cstheme="minorHAnsi"/>
          <w:lang w:val="fr-FR"/>
        </w:rPr>
        <w:instrText>n la PI (Propiedad Intelectual).           \n                \nEnfoques de qu\u00e9 forma se definen las spin-off:           \nSpin-off se puede definir como una compa\u00f1\u00eda que fund\u00f3 para los siguientes prop\u00f3sitos: \n\u00b7\u00a0\u00a0\u00a0\u00a0\u00a0\u00a0\u00a0\u00a0 Tipo 1: licenciar la tecnolog\u00eda de la instituci\u00f3n; \n\u00b7\u00a0\u00a0\u00a0\u00a0\u00a0\u00a0\u00a0\u00a0 Tipo 2: financiar la investigaci\u00f3n de la instituci\u00f3n con el fin de desarrollar tecnolog\u00edas que se licencia por la empresa; \n\u00b7\u00a0\u00a0\u00a0\u00a0\u00a0\u00a0\u00a0\u00a0 Tipo 3: Proporcionar un servicio que fue ofrecido originalmente a trav\u00e9s del departamento de una instituci\u00f3n o de la unidad \" \nEnfoque simple de Cooper (2001) es que las empresas spin-off son especializadas en la comercializaci\u00f3n de la tecnolog\u00eda que pertenece a las universidades o a los investigadores universitarios \n        \n      ", "title" : "Academic Spin-off Ventures and Corporate Spin-off Firms at the High-Tech Industries", "type" : "article-journal" }, "uris" : [ "http://www.mendeley.com/documents/?uuid=6d82fc9f-da35-461a-bd15-e8d760496802" ] } ], "mendeley" : { "previouslyFormattedCitation" : "(Algieri et al., 2011; Fini, Grimaldi, &amp; Sobrero, 2009; Gilsing et al., 2010; Raday, 2008; Steffensen et al., 1999; Zhang, 2008)" }, "properties" : { "noteIndex" : 0 }, "schema" : "https://github.com/citation-style-language/schema/raw/master/csl-citation.json" }</w:instrText>
      </w:r>
      <w:r w:rsidR="003B0D24" w:rsidRPr="005D10C1">
        <w:rPr>
          <w:rStyle w:val="Textoennegrita"/>
          <w:rFonts w:ascii="Candara" w:hAnsi="Candara" w:cstheme="minorHAnsi"/>
        </w:rPr>
        <w:fldChar w:fldCharType="separate"/>
      </w:r>
      <w:r w:rsidR="0050738D" w:rsidRPr="005D10C1">
        <w:rPr>
          <w:rStyle w:val="Textoennegrita"/>
          <w:rFonts w:ascii="Candara" w:hAnsi="Candara" w:cstheme="minorHAnsi"/>
          <w:noProof/>
          <w:lang w:val="fr-FR"/>
        </w:rPr>
        <w:t>(Algieri et al., 2011; Fini, Grimaldi, &amp; Sobrero, 2009; Gilsing et al., 2010; Raday, 2008; Steffensen et al., 1999; Zhang, 2008)</w:t>
      </w:r>
      <w:r w:rsidR="003B0D24" w:rsidRPr="005D10C1">
        <w:rPr>
          <w:rStyle w:val="Textoennegrita"/>
          <w:rFonts w:ascii="Candara" w:hAnsi="Candara" w:cstheme="minorHAnsi"/>
        </w:rPr>
        <w:fldChar w:fldCharType="end"/>
      </w:r>
      <w:r w:rsidRPr="005D10C1">
        <w:rPr>
          <w:rStyle w:val="Textoennegrita"/>
          <w:rFonts w:ascii="Candara" w:hAnsi="Candara" w:cstheme="minorHAnsi"/>
          <w:lang w:val="fr-FR"/>
        </w:rPr>
        <w:t xml:space="preserve">. </w:t>
      </w:r>
    </w:p>
    <w:p w14:paraId="03F26D46" w14:textId="77777777" w:rsidR="00040360" w:rsidRPr="005D10C1" w:rsidRDefault="007A158B" w:rsidP="000A520D">
      <w:pPr>
        <w:spacing w:line="360" w:lineRule="auto"/>
        <w:rPr>
          <w:rFonts w:ascii="Candara" w:hAnsi="Candara" w:cs="Arial"/>
        </w:rPr>
      </w:pPr>
      <w:r w:rsidRPr="005D10C1">
        <w:rPr>
          <w:rFonts w:ascii="Candara" w:hAnsi="Candara" w:cs="Arial"/>
        </w:rPr>
        <w:t>P</w:t>
      </w:r>
      <w:r w:rsidR="00BF00D9" w:rsidRPr="005D10C1">
        <w:rPr>
          <w:rFonts w:ascii="Candara" w:hAnsi="Candara" w:cs="Arial"/>
        </w:rPr>
        <w:t>olíticas gubernamentales y las</w:t>
      </w:r>
      <w:r w:rsidR="00040360" w:rsidRPr="005D10C1">
        <w:rPr>
          <w:rFonts w:ascii="Candara" w:hAnsi="Candara" w:cs="Arial"/>
        </w:rPr>
        <w:t xml:space="preserve"> universitarias </w:t>
      </w:r>
      <w:r w:rsidR="00BF00D9" w:rsidRPr="005D10C1">
        <w:rPr>
          <w:rFonts w:ascii="Candara" w:hAnsi="Candara" w:cs="Arial"/>
        </w:rPr>
        <w:t xml:space="preserve">que conforman </w:t>
      </w:r>
      <w:r w:rsidR="00040360" w:rsidRPr="005D10C1">
        <w:rPr>
          <w:rFonts w:ascii="Candara" w:hAnsi="Candara" w:cs="Arial"/>
        </w:rPr>
        <w:t xml:space="preserve">el marco jurídico y legal </w:t>
      </w:r>
      <w:r w:rsidR="00BF00D9" w:rsidRPr="005D10C1">
        <w:rPr>
          <w:rFonts w:ascii="Candara" w:hAnsi="Candara" w:cs="Arial"/>
        </w:rPr>
        <w:t>pueden actuar</w:t>
      </w:r>
      <w:r w:rsidR="00040360" w:rsidRPr="005D10C1">
        <w:rPr>
          <w:rFonts w:ascii="Candara" w:hAnsi="Candara" w:cs="Arial"/>
        </w:rPr>
        <w:t xml:space="preserve"> como un facilitador o </w:t>
      </w:r>
      <w:r w:rsidR="00BF00D9" w:rsidRPr="005D10C1">
        <w:rPr>
          <w:rFonts w:ascii="Candara" w:hAnsi="Candara" w:cs="Arial"/>
        </w:rPr>
        <w:t xml:space="preserve">un </w:t>
      </w:r>
      <w:r w:rsidR="00040360" w:rsidRPr="005D10C1">
        <w:rPr>
          <w:rFonts w:ascii="Candara" w:hAnsi="Candara" w:cs="Arial"/>
        </w:rPr>
        <w:t xml:space="preserve">inhibidor en la creación de </w:t>
      </w:r>
      <w:r w:rsidR="00040360" w:rsidRPr="005D10C1">
        <w:rPr>
          <w:rFonts w:ascii="Candara" w:hAnsi="Candara" w:cs="Arial"/>
          <w:i/>
        </w:rPr>
        <w:t xml:space="preserve">spin-off </w:t>
      </w:r>
      <w:r w:rsidR="003B0D24" w:rsidRPr="005D10C1">
        <w:rPr>
          <w:rFonts w:ascii="Candara" w:hAnsi="Candara" w:cs="Arial"/>
          <w:i/>
        </w:rPr>
        <w:fldChar w:fldCharType="begin" w:fldLock="1"/>
      </w:r>
      <w:r w:rsidR="00CA1A09" w:rsidRPr="005D10C1">
        <w:rPr>
          <w:rFonts w:ascii="Candara" w:hAnsi="Candara" w:cs="Arial"/>
          <w:i/>
        </w:rPr>
        <w:instrText>ADDIN CSL_CITATION { "citationItems" : [ { "id" : "ITEM-1", "itemData" : { "author" : [ { "dropping-particle" : "", "family" : "Morales", "given" : "Silvia Teresa", "non-dropping-particle" : "", "parse-names" : false, "suffix" : "" } ], "id" : "ITEM-1", "issued" : { "date-parts" : [ [ "2008" ] ] }, "page" : "343", "publisher" : "Universitat de Valencia", "title" : "El emprendedor acad\u00e9mico y la decisi\u00f3n de crear Spin off: Un an\u00e1lisis del caso espa\u00f1ol.", "type" : "thesis" }, "uris" : [ "http://www.mendeley.com/documents/?uuid=10080cd6-1b1f-4c9b-975a-58b830c57e62" ] }, { "id" : "ITEM-2", "itemData" : { "author" : [ { "dropping-particle" : "", "family" : "Zu\u00f1iga", "given" : "Ana Cristina", "non-dropping-particle" : "", "parse-names" : false, "suffix" : "" } ], "id" : "ITEM-2", "issued" : { "date-parts" : [ [ "2012" ] ] }, "page" : "1-57", "publisher" : "Universidad de Antioquia", "title" : "Barreras y facilitadores en la creaci\u00f3n de la primera spin-off en la Universidad de Antioquia: Conocimientos y servicios de ingenier\u00eda S.A.S", "type" : "thesis" }, "uris" : [ "http://www.mendeley.com/documents/?uuid=ff96aac0-a14a-469a-be66-fa1ec4def7c4" ] }, { "id" : "ITEM-3", "itemData" : { "DOI" : "10.1007/s11846-007-0010-x", "ISSN" : "1863-6683", "author" : [ { "dropping-particle" : "", "family" : "Helm", "given" : "Roland", "non-dropping-particle" : "", "parse-names" : false, "suffix" : "" }, { "dropping-particle" : "", "family" : "Mauroner", "given" : "Oliver", "non-dropping-particle" : "", "parse-names" : false, "suffix" : "" } ], "container-title" : "Review of Managerial Science", "id" : "ITEM-3", "issue" : "3", "issued" : { "date-parts" : [ [ "2007", "7", "5" ] ] }, "page" : "237-270", "title" : "Success of research-based spin-offs. State-of-the-art and guidelines for further research", "type" : "article-journal", "volume" : "1" }, "uris" : [ "http://www.mendeley.com/documents/?uuid=71bd64ee-06ce-4e6f-a391-7c991951105b" ] }, { "id" : "ITEM-4", "itemData" : { "author" : [ { "dropping-particle" : "", "family" : "Iglesias", "given" : "PP", "non-dropping-particle" : "", "parse-names" : false, "suffix" : "" } ], "id" : "ITEM-4", "issued" : { "date-parts" : [ [ "2010" ] ] }, "page" : "426", "publisher" : "Universidad de M\u00e1laga", "title" : "Las Spin-Off Universitarias como mecanismo de transferencia de tecnolog\u00eda y su impacto econ\u00f3mico en base a la actividad de I+ D+ i", "type" : "thesis" }, "uris" : [ "http://www.mendeley.com/documents/?uuid=a77e8b48-998f-4144-8131-0fb71f159288" ] }, { "id" : "ITEM-5", "itemData" : { "URL" : "http://www.udea.edu.co/portal/page/portal/BibliotecaInvestigacion/InformacionGeneral/utilidades/documentos/Relatoria Spin Off.pdf", "id" : "ITEM-5", "issued" : { "date-parts" : [ [ "2012" ] ] }, "page" : "42", "title" : "\u00bfPueden las universidades p\u00fablicas crear Spin-Off?", "type" : "webpage" }, "uris" : [ "http://www.mendeley.com/documents/?uuid=c7d91085-4ebd-4df4-b2b4-d0a62c4f06b6" ] } ], "mendeley" : { "previouslyFormattedCitation" : "(\u201c\u00bfPueden las universidades p\u00fablicas crear Spin-Off?,\u201d 2012; Helm &amp; Mauroner, 2007; Iglesias, 2010; Morales, 2008; Zu\u00f1iga, 2012)" }, "properties" : { "noteIndex" : 0 }, "schema" : "https://github.com/citation-style-language/schema/raw/master/csl-citation.json" }</w:instrText>
      </w:r>
      <w:r w:rsidR="003B0D24" w:rsidRPr="005D10C1">
        <w:rPr>
          <w:rFonts w:ascii="Candara" w:hAnsi="Candara" w:cs="Arial"/>
          <w:i/>
        </w:rPr>
        <w:fldChar w:fldCharType="separate"/>
      </w:r>
      <w:r w:rsidR="00AA1743" w:rsidRPr="005D10C1">
        <w:rPr>
          <w:rFonts w:ascii="Candara" w:hAnsi="Candara" w:cs="Arial"/>
          <w:noProof/>
        </w:rPr>
        <w:t>(“¿Pueden las universidades públicas crear Spin-Off?,” 2012; Helm &amp; Mauroner, 2007; Iglesias, 2010; Morales, 2008; Zuñiga, 2012)</w:t>
      </w:r>
      <w:r w:rsidR="003B0D24" w:rsidRPr="005D10C1">
        <w:rPr>
          <w:rFonts w:ascii="Candara" w:hAnsi="Candara" w:cs="Arial"/>
          <w:i/>
        </w:rPr>
        <w:fldChar w:fldCharType="end"/>
      </w:r>
      <w:r w:rsidR="00040360" w:rsidRPr="005D10C1">
        <w:rPr>
          <w:rFonts w:ascii="Candara" w:hAnsi="Candara" w:cs="Arial"/>
          <w:i/>
        </w:rPr>
        <w:t>.</w:t>
      </w:r>
      <w:r w:rsidR="004B0836" w:rsidRPr="005D10C1">
        <w:rPr>
          <w:rFonts w:ascii="Candara" w:hAnsi="Candara" w:cs="Arial"/>
        </w:rPr>
        <w:t xml:space="preserve"> De hecho, muchos países del mundo han requerido cambios normativos importantes para facilitar el desarrollo del fenómeno spin-off, tal como se podrán ver en los casos de Estados Unidos, España y Francia, que se detallarán en secciones posteriores.</w:t>
      </w:r>
    </w:p>
    <w:p w14:paraId="0656BAD8" w14:textId="77777777" w:rsidR="00040360" w:rsidRPr="005D10C1" w:rsidRDefault="00040360" w:rsidP="000A520D">
      <w:pPr>
        <w:spacing w:line="360" w:lineRule="auto"/>
        <w:rPr>
          <w:rFonts w:ascii="Candara" w:hAnsi="Candara" w:cs="Arial"/>
        </w:rPr>
      </w:pPr>
    </w:p>
    <w:p w14:paraId="484AA6F5" w14:textId="77777777" w:rsidR="00040360" w:rsidRPr="005D10C1" w:rsidRDefault="00040360" w:rsidP="00040360">
      <w:pPr>
        <w:spacing w:line="360" w:lineRule="auto"/>
        <w:rPr>
          <w:rFonts w:ascii="Candara" w:hAnsi="Candara" w:cs="Arial"/>
        </w:rPr>
      </w:pPr>
      <w:r w:rsidRPr="005D10C1">
        <w:rPr>
          <w:rFonts w:ascii="Candara" w:hAnsi="Candara" w:cs="Arial"/>
        </w:rPr>
        <w:t xml:space="preserve">Específicamente en el caso colombiano, </w:t>
      </w:r>
      <w:r w:rsidR="007351F1" w:rsidRPr="005D10C1">
        <w:rPr>
          <w:rFonts w:ascii="Candara" w:hAnsi="Candara" w:cs="Arial"/>
        </w:rPr>
        <w:t xml:space="preserve">la legislación colombiana </w:t>
      </w:r>
      <w:commentRangeStart w:id="14"/>
      <w:r w:rsidR="007A158B" w:rsidRPr="005D10C1">
        <w:rPr>
          <w:rFonts w:ascii="Candara" w:hAnsi="Candara" w:cs="Arial"/>
        </w:rPr>
        <w:t>es</w:t>
      </w:r>
      <w:r w:rsidR="007351F1" w:rsidRPr="005D10C1">
        <w:rPr>
          <w:rFonts w:ascii="Candara" w:hAnsi="Candara" w:cs="Arial"/>
        </w:rPr>
        <w:t xml:space="preserve"> una</w:t>
      </w:r>
      <w:r w:rsidRPr="005D10C1">
        <w:rPr>
          <w:rFonts w:ascii="Candara" w:hAnsi="Candara" w:cs="Arial"/>
        </w:rPr>
        <w:t xml:space="preserve"> barrera de tipo jurídico para la formación de </w:t>
      </w:r>
      <w:r w:rsidRPr="005D10C1">
        <w:rPr>
          <w:rFonts w:ascii="Candara" w:hAnsi="Candara" w:cs="Arial"/>
          <w:i/>
        </w:rPr>
        <w:t>spin-off</w:t>
      </w:r>
      <w:r w:rsidRPr="005D10C1">
        <w:rPr>
          <w:rFonts w:ascii="Candara" w:hAnsi="Candara" w:cs="Arial"/>
        </w:rPr>
        <w:t xml:space="preserve"> de universidades públicas, pues existe una inhabilidad </w:t>
      </w:r>
      <w:r w:rsidR="004571AC" w:rsidRPr="005D10C1">
        <w:rPr>
          <w:rFonts w:ascii="Candara" w:hAnsi="Candara" w:cs="Arial"/>
        </w:rPr>
        <w:t>que inhibe la</w:t>
      </w:r>
      <w:r w:rsidR="007351F1" w:rsidRPr="005D10C1">
        <w:rPr>
          <w:rFonts w:ascii="Candara" w:hAnsi="Candara" w:cs="Arial"/>
        </w:rPr>
        <w:t xml:space="preserve"> vinculación de un investigador,</w:t>
      </w:r>
      <w:r w:rsidRPr="005D10C1">
        <w:rPr>
          <w:rFonts w:ascii="Candara" w:hAnsi="Candara" w:cs="Arial"/>
        </w:rPr>
        <w:t xml:space="preserve"> que ostent</w:t>
      </w:r>
      <w:r w:rsidR="007351F1" w:rsidRPr="005D10C1">
        <w:rPr>
          <w:rFonts w:ascii="Candara" w:hAnsi="Candara" w:cs="Arial"/>
        </w:rPr>
        <w:t>a</w:t>
      </w:r>
      <w:r w:rsidRPr="005D10C1">
        <w:rPr>
          <w:rFonts w:ascii="Candara" w:hAnsi="Candara" w:cs="Arial"/>
        </w:rPr>
        <w:t xml:space="preserve"> la calidad de servidor público</w:t>
      </w:r>
      <w:commentRangeEnd w:id="14"/>
      <w:r w:rsidR="00C80CD3">
        <w:rPr>
          <w:rStyle w:val="Refdecomentario"/>
          <w:rFonts w:cstheme="minorBidi"/>
        </w:rPr>
        <w:commentReference w:id="14"/>
      </w:r>
      <w:r w:rsidRPr="005D10C1">
        <w:rPr>
          <w:rFonts w:ascii="Candara" w:hAnsi="Candara" w:cs="Arial"/>
        </w:rPr>
        <w:t xml:space="preserve">, </w:t>
      </w:r>
      <w:r w:rsidR="004571AC" w:rsidRPr="005D10C1">
        <w:rPr>
          <w:rFonts w:ascii="Candara" w:hAnsi="Candara" w:cs="Arial"/>
        </w:rPr>
        <w:t xml:space="preserve">en la empresa, </w:t>
      </w:r>
      <w:r w:rsidRPr="005D10C1">
        <w:rPr>
          <w:rFonts w:ascii="Candara" w:hAnsi="Candara" w:cs="Arial"/>
        </w:rPr>
        <w:t>bien sea como socio fundador, como accio</w:t>
      </w:r>
      <w:r w:rsidR="007351F1" w:rsidRPr="005D10C1">
        <w:rPr>
          <w:rFonts w:ascii="Candara" w:hAnsi="Candara" w:cs="Arial"/>
        </w:rPr>
        <w:t xml:space="preserve">nista derivado o como empleado </w:t>
      </w:r>
      <w:r w:rsidR="003B0D24" w:rsidRPr="005D10C1">
        <w:rPr>
          <w:rFonts w:ascii="Candara" w:hAnsi="Candara" w:cs="Arial"/>
        </w:rPr>
        <w:fldChar w:fldCharType="begin" w:fldLock="1"/>
      </w:r>
      <w:r w:rsidR="00CA1A09" w:rsidRPr="005D10C1">
        <w:rPr>
          <w:rFonts w:ascii="Candara" w:hAnsi="Candara" w:cs="Arial"/>
        </w:rPr>
        <w:instrText>ADDIN CSL_CITATION { "citationItems" : [ { "id" : "ITEM-1", "itemData" : { "URL" : "http://www.udea.edu.co/portal/page/portal/BibliotecaInvestigacion/InformacionGeneral/utilidades/documentos/Relatoria Spin Off.pdf", "id" : "ITEM-1", "issued" : { "date-parts" : [ [ "2012" ] ] }, "page" : "42", "title" : "\u00bfPueden las universidades p\u00fablicas crear Spin-Off?", "type" : "webpage" }, "uris" : [ "http://www.mendeley.com/documents/?uuid=c7d91085-4ebd-4df4-b2b4-d0a62c4f06b6" ] }, { "id" : "ITEM-2", "itemData" : { "author" : [ { "dropping-particle" : "", "family" : "Martinez", "given" : "Laura", "non-dropping-particle" : "", "parse-names" : false, "suffix" : "" } ], "id" : "ITEM-2", "issued" : { "date-parts" : [ [ "2013" ] ] }, "publisher" : "Universidad de Antioquia", "title" : "Panorama de la creaci\u00f3n de spin off universitarias h\u00edbridas en la Universidad Nacional de Colombia sede Medell\u00edn", "type" : "thesis" }, "uris" : [ "http://www.mendeley.com/documents/?uuid=97a4b764-d237-4d07-9305-b688b7e43229" ] } ], "mendeley" : { "previouslyFormattedCitation" : "(\u201c\u00bfPueden las universidades p\u00fablicas crear Spin-Off?,\u201d 2012; Martinez, 2013)" }, "properties" : { "noteIndex" : 0 }, "schema" : "https://github.com/citation-style-language/schema/raw/master/csl-citation.json" }</w:instrText>
      </w:r>
      <w:r w:rsidR="003B0D24" w:rsidRPr="005D10C1">
        <w:rPr>
          <w:rFonts w:ascii="Candara" w:hAnsi="Candara" w:cs="Arial"/>
        </w:rPr>
        <w:fldChar w:fldCharType="separate"/>
      </w:r>
      <w:r w:rsidR="000226A9" w:rsidRPr="005D10C1">
        <w:rPr>
          <w:rFonts w:ascii="Candara" w:hAnsi="Candara" w:cs="Arial"/>
          <w:noProof/>
        </w:rPr>
        <w:t>(“¿Pueden las universidades públicas crear Spin-Off?,” 2012; Martinez, 2013)</w:t>
      </w:r>
      <w:r w:rsidR="003B0D24" w:rsidRPr="005D10C1">
        <w:rPr>
          <w:rFonts w:ascii="Candara" w:hAnsi="Candara" w:cs="Arial"/>
        </w:rPr>
        <w:fldChar w:fldCharType="end"/>
      </w:r>
      <w:r w:rsidRPr="005D10C1">
        <w:rPr>
          <w:rFonts w:ascii="Candara" w:hAnsi="Candara" w:cs="Arial"/>
        </w:rPr>
        <w:t>.</w:t>
      </w:r>
      <w:r w:rsidR="007351F1" w:rsidRPr="005D10C1">
        <w:rPr>
          <w:rFonts w:ascii="Candara" w:hAnsi="Candara" w:cs="Arial"/>
        </w:rPr>
        <w:t xml:space="preserve">  Este factor es el que constituye el objeto de este estudio y, por ello, a continuación se presenta la experiencia de Estados Unidos, Brasil, Francia y España, con el fin de identificar las soluciones que han incorporado o están promoviendo para superar este tipo de obstáculo.</w:t>
      </w:r>
    </w:p>
    <w:p w14:paraId="72F3D163" w14:textId="77777777" w:rsidR="002A07E4" w:rsidRPr="005D10C1" w:rsidRDefault="002A07E4" w:rsidP="00040360">
      <w:pPr>
        <w:spacing w:line="360" w:lineRule="auto"/>
        <w:rPr>
          <w:rFonts w:ascii="Candara" w:hAnsi="Candara" w:cs="Arial"/>
        </w:rPr>
      </w:pPr>
    </w:p>
    <w:p w14:paraId="0EB4AF64" w14:textId="77777777" w:rsidR="002A07E4" w:rsidRPr="005D10C1" w:rsidRDefault="00A32FA4" w:rsidP="007351F1">
      <w:pPr>
        <w:spacing w:line="360" w:lineRule="auto"/>
        <w:rPr>
          <w:rFonts w:ascii="Candara" w:hAnsi="Candara" w:cs="Arial"/>
        </w:rPr>
      </w:pPr>
      <w:r w:rsidRPr="005D10C1">
        <w:rPr>
          <w:rFonts w:ascii="Candara" w:hAnsi="Candara" w:cs="Arial"/>
        </w:rPr>
        <w:t>Para cada uno de los países antes mencionados</w:t>
      </w:r>
      <w:r w:rsidR="007351F1" w:rsidRPr="005D10C1">
        <w:rPr>
          <w:rFonts w:ascii="Candara" w:hAnsi="Candara" w:cs="Arial"/>
        </w:rPr>
        <w:t xml:space="preserve"> se presenta brevemente el sistema</w:t>
      </w:r>
      <w:r w:rsidR="005368B1" w:rsidRPr="005D10C1">
        <w:rPr>
          <w:rFonts w:ascii="Candara" w:hAnsi="Candara" w:cs="Arial"/>
        </w:rPr>
        <w:t xml:space="preserve"> de innovación y los programas y mecanismos que lo soportan</w:t>
      </w:r>
      <w:r w:rsidR="007351F1" w:rsidRPr="005D10C1">
        <w:rPr>
          <w:rFonts w:ascii="Candara" w:hAnsi="Candara" w:cs="Arial"/>
        </w:rPr>
        <w:t xml:space="preserve">; el estado del </w:t>
      </w:r>
      <w:r w:rsidR="005368B1" w:rsidRPr="005D10C1">
        <w:rPr>
          <w:rFonts w:ascii="Candara" w:hAnsi="Candara" w:cs="Arial"/>
        </w:rPr>
        <w:t xml:space="preserve">desarrollo del fenómeno </w:t>
      </w:r>
      <w:r w:rsidR="005368B1" w:rsidRPr="005D10C1">
        <w:rPr>
          <w:rFonts w:ascii="Candara" w:hAnsi="Candara" w:cs="Arial"/>
          <w:i/>
        </w:rPr>
        <w:t xml:space="preserve">spin-off </w:t>
      </w:r>
      <w:r w:rsidR="005368B1" w:rsidRPr="005D10C1">
        <w:rPr>
          <w:rFonts w:ascii="Candara" w:hAnsi="Candara" w:cs="Arial"/>
        </w:rPr>
        <w:t xml:space="preserve">en estos países, los programas y leyes que incentivan la creación de este tipo de compañías y se consigna si en estos lugares los servidores públicos </w:t>
      </w:r>
      <w:r w:rsidR="000C3F3A" w:rsidRPr="005D10C1">
        <w:rPr>
          <w:rFonts w:ascii="Candara" w:hAnsi="Candara" w:cs="Arial"/>
        </w:rPr>
        <w:t>tienen o han tenido</w:t>
      </w:r>
      <w:r w:rsidR="005368B1" w:rsidRPr="005D10C1">
        <w:rPr>
          <w:rFonts w:ascii="Candara" w:hAnsi="Candara" w:cs="Arial"/>
        </w:rPr>
        <w:t xml:space="preserve"> inhabilidades para participar en la creación de estas empresas</w:t>
      </w:r>
      <w:r w:rsidR="002A07E4" w:rsidRPr="005D10C1">
        <w:rPr>
          <w:rFonts w:ascii="Candara" w:hAnsi="Candara" w:cs="Arial"/>
        </w:rPr>
        <w:t>.</w:t>
      </w:r>
    </w:p>
    <w:p w14:paraId="44B93C83" w14:textId="77777777" w:rsidR="00D50430" w:rsidRPr="005D10C1" w:rsidRDefault="00D50430">
      <w:pPr>
        <w:rPr>
          <w:rFonts w:ascii="Candara" w:hAnsi="Candara" w:cs="Arial"/>
        </w:rPr>
      </w:pPr>
      <w:r w:rsidRPr="005D10C1">
        <w:rPr>
          <w:rFonts w:ascii="Candara" w:hAnsi="Candara" w:cs="Arial"/>
        </w:rPr>
        <w:br w:type="page"/>
      </w:r>
    </w:p>
    <w:p w14:paraId="11533560" w14:textId="77777777" w:rsidR="00040360" w:rsidRPr="005D10C1" w:rsidRDefault="00040360" w:rsidP="00040360">
      <w:pPr>
        <w:spacing w:line="360" w:lineRule="auto"/>
        <w:rPr>
          <w:rFonts w:ascii="Candara" w:hAnsi="Candara" w:cs="Arial"/>
        </w:rPr>
      </w:pPr>
    </w:p>
    <w:p w14:paraId="403357CD" w14:textId="77777777" w:rsidR="00C815FD" w:rsidRPr="005D10C1" w:rsidRDefault="004E503B">
      <w:pPr>
        <w:pStyle w:val="Ttulo1"/>
        <w:rPr>
          <w:rFonts w:ascii="Candara" w:hAnsi="Candara"/>
          <w:color w:val="auto"/>
        </w:rPr>
      </w:pPr>
      <w:bookmarkStart w:id="15" w:name="_Toc367345834"/>
      <w:bookmarkStart w:id="16" w:name="_Toc367346074"/>
      <w:bookmarkStart w:id="17" w:name="_Toc367345835"/>
      <w:bookmarkStart w:id="18" w:name="_Toc367346075"/>
      <w:bookmarkStart w:id="19" w:name="_Toc367345836"/>
      <w:bookmarkStart w:id="20" w:name="_Toc367346076"/>
      <w:bookmarkStart w:id="21" w:name="_Toc367345837"/>
      <w:bookmarkStart w:id="22" w:name="_Toc367346077"/>
      <w:bookmarkStart w:id="23" w:name="_Toc367345838"/>
      <w:bookmarkStart w:id="24" w:name="_Toc367346078"/>
      <w:bookmarkStart w:id="25" w:name="_Toc367345839"/>
      <w:bookmarkStart w:id="26" w:name="_Toc367346079"/>
      <w:bookmarkStart w:id="27" w:name="_Toc367345840"/>
      <w:bookmarkStart w:id="28" w:name="_Toc367346080"/>
      <w:bookmarkStart w:id="29" w:name="_Toc367345841"/>
      <w:bookmarkStart w:id="30" w:name="_Toc367346081"/>
      <w:bookmarkStart w:id="31" w:name="_Toc367345842"/>
      <w:bookmarkStart w:id="32" w:name="_Toc367346082"/>
      <w:bookmarkStart w:id="33" w:name="_Toc367345843"/>
      <w:bookmarkStart w:id="34" w:name="_Toc367346083"/>
      <w:bookmarkStart w:id="35" w:name="_Toc367345844"/>
      <w:bookmarkStart w:id="36" w:name="_Toc367346084"/>
      <w:bookmarkStart w:id="37" w:name="_Toc367345845"/>
      <w:bookmarkStart w:id="38" w:name="_Toc367346085"/>
      <w:bookmarkStart w:id="39" w:name="_Toc367345846"/>
      <w:bookmarkStart w:id="40" w:name="_Toc367346086"/>
      <w:bookmarkStart w:id="41" w:name="_Toc367345847"/>
      <w:bookmarkStart w:id="42" w:name="_Toc367346087"/>
      <w:bookmarkStart w:id="43" w:name="_Toc367345848"/>
      <w:bookmarkStart w:id="44" w:name="_Toc367346088"/>
      <w:bookmarkStart w:id="45" w:name="_Toc367345849"/>
      <w:bookmarkStart w:id="46" w:name="_Toc367346089"/>
      <w:bookmarkStart w:id="47" w:name="_Toc367345850"/>
      <w:bookmarkStart w:id="48" w:name="_Toc367346090"/>
      <w:bookmarkStart w:id="49" w:name="_Toc367345851"/>
      <w:bookmarkStart w:id="50" w:name="_Toc367346091"/>
      <w:bookmarkStart w:id="51" w:name="_Toc367345852"/>
      <w:bookmarkStart w:id="52" w:name="_Toc367346092"/>
      <w:bookmarkStart w:id="53" w:name="_Toc367345853"/>
      <w:bookmarkStart w:id="54" w:name="_Toc367346093"/>
      <w:bookmarkStart w:id="55" w:name="_Toc367345854"/>
      <w:bookmarkStart w:id="56" w:name="_Toc367346094"/>
      <w:bookmarkStart w:id="57" w:name="_Toc367345855"/>
      <w:bookmarkStart w:id="58" w:name="_Toc367346095"/>
      <w:bookmarkStart w:id="59" w:name="_Toc367345856"/>
      <w:bookmarkStart w:id="60" w:name="_Toc367346096"/>
      <w:bookmarkStart w:id="61" w:name="_Toc367345857"/>
      <w:bookmarkStart w:id="62" w:name="_Toc367346097"/>
      <w:bookmarkStart w:id="63" w:name="_Toc367345858"/>
      <w:bookmarkStart w:id="64" w:name="_Toc367346098"/>
      <w:bookmarkStart w:id="65" w:name="_Toc367345859"/>
      <w:bookmarkStart w:id="66" w:name="_Toc367346099"/>
      <w:bookmarkStart w:id="67" w:name="_Toc367345860"/>
      <w:bookmarkStart w:id="68" w:name="_Toc367346100"/>
      <w:bookmarkStart w:id="69" w:name="_Toc367345861"/>
      <w:bookmarkStart w:id="70" w:name="_Toc367346101"/>
      <w:bookmarkStart w:id="71" w:name="_Toc367345862"/>
      <w:bookmarkStart w:id="72" w:name="_Toc367346102"/>
      <w:bookmarkStart w:id="73" w:name="_Toc367345863"/>
      <w:bookmarkStart w:id="74" w:name="_Toc367346103"/>
      <w:bookmarkStart w:id="75" w:name="_Toc367345864"/>
      <w:bookmarkStart w:id="76" w:name="_Toc367346104"/>
      <w:bookmarkStart w:id="77" w:name="_Toc367345865"/>
      <w:bookmarkStart w:id="78" w:name="_Toc367346105"/>
      <w:bookmarkStart w:id="79" w:name="_Toc367345866"/>
      <w:bookmarkStart w:id="80" w:name="_Toc367346106"/>
      <w:bookmarkStart w:id="81" w:name="_Toc367345867"/>
      <w:bookmarkStart w:id="82" w:name="_Toc367346107"/>
      <w:bookmarkStart w:id="83" w:name="_Toc367345868"/>
      <w:bookmarkStart w:id="84" w:name="_Toc367346108"/>
      <w:bookmarkStart w:id="85" w:name="_Toc367345869"/>
      <w:bookmarkStart w:id="86" w:name="_Toc367346109"/>
      <w:bookmarkStart w:id="87" w:name="_Toc367345870"/>
      <w:bookmarkStart w:id="88" w:name="_Toc367346110"/>
      <w:bookmarkStart w:id="89" w:name="_Toc367345871"/>
      <w:bookmarkStart w:id="90" w:name="_Toc367346111"/>
      <w:bookmarkStart w:id="91" w:name="_Toc367345872"/>
      <w:bookmarkStart w:id="92" w:name="_Toc367346112"/>
      <w:bookmarkStart w:id="93" w:name="_Toc367345873"/>
      <w:bookmarkStart w:id="94" w:name="_Toc367346113"/>
      <w:bookmarkStart w:id="95" w:name="_Toc367345874"/>
      <w:bookmarkStart w:id="96" w:name="_Toc367346114"/>
      <w:bookmarkStart w:id="97" w:name="_Toc367345875"/>
      <w:bookmarkStart w:id="98" w:name="_Toc367346115"/>
      <w:bookmarkStart w:id="99" w:name="_Toc367345876"/>
      <w:bookmarkStart w:id="100" w:name="_Toc367346116"/>
      <w:bookmarkStart w:id="101" w:name="_Toc367345877"/>
      <w:bookmarkStart w:id="102" w:name="_Toc367346117"/>
      <w:bookmarkStart w:id="103" w:name="_Toc367345878"/>
      <w:bookmarkStart w:id="104" w:name="_Toc367346118"/>
      <w:bookmarkStart w:id="105" w:name="_Toc367345879"/>
      <w:bookmarkStart w:id="106" w:name="_Toc367346119"/>
      <w:bookmarkStart w:id="107" w:name="_Toc367345880"/>
      <w:bookmarkStart w:id="108" w:name="_Toc367346120"/>
      <w:bookmarkStart w:id="109" w:name="_Toc367345881"/>
      <w:bookmarkStart w:id="110" w:name="_Toc367346121"/>
      <w:bookmarkStart w:id="111" w:name="_Toc367345882"/>
      <w:bookmarkStart w:id="112" w:name="_Toc367346122"/>
      <w:bookmarkStart w:id="113" w:name="_Toc367345883"/>
      <w:bookmarkStart w:id="114" w:name="_Toc367346123"/>
      <w:bookmarkStart w:id="115" w:name="_Toc367345884"/>
      <w:bookmarkStart w:id="116" w:name="_Toc367346124"/>
      <w:bookmarkStart w:id="117" w:name="_Toc367345885"/>
      <w:bookmarkStart w:id="118" w:name="_Toc367346125"/>
      <w:bookmarkStart w:id="119" w:name="_Toc367345886"/>
      <w:bookmarkStart w:id="120" w:name="_Toc367346126"/>
      <w:bookmarkStart w:id="121" w:name="_Toc367345887"/>
      <w:bookmarkStart w:id="122" w:name="_Toc367346127"/>
      <w:bookmarkStart w:id="123" w:name="_Toc367345888"/>
      <w:bookmarkStart w:id="124" w:name="_Toc367346128"/>
      <w:bookmarkStart w:id="125" w:name="_Toc367345889"/>
      <w:bookmarkStart w:id="126" w:name="_Toc367346129"/>
      <w:bookmarkStart w:id="127" w:name="_Toc367345890"/>
      <w:bookmarkStart w:id="128" w:name="_Toc367346130"/>
      <w:bookmarkStart w:id="129" w:name="_Toc367345891"/>
      <w:bookmarkStart w:id="130" w:name="_Toc367346131"/>
      <w:bookmarkStart w:id="131" w:name="_Toc367345892"/>
      <w:bookmarkStart w:id="132" w:name="_Toc367346132"/>
      <w:bookmarkStart w:id="133" w:name="_Toc367345893"/>
      <w:bookmarkStart w:id="134" w:name="_Toc367346133"/>
      <w:bookmarkStart w:id="135" w:name="_Toc367345894"/>
      <w:bookmarkStart w:id="136" w:name="_Toc367346134"/>
      <w:bookmarkStart w:id="137" w:name="_Toc367345895"/>
      <w:bookmarkStart w:id="138" w:name="_Toc367346135"/>
      <w:bookmarkStart w:id="139" w:name="_Toc367345896"/>
      <w:bookmarkStart w:id="140" w:name="_Toc367346136"/>
      <w:bookmarkStart w:id="141" w:name="_Toc367345897"/>
      <w:bookmarkStart w:id="142" w:name="_Toc367346137"/>
      <w:bookmarkStart w:id="143" w:name="_Toc367345898"/>
      <w:bookmarkStart w:id="144" w:name="_Toc367346138"/>
      <w:bookmarkStart w:id="145" w:name="_Toc367345899"/>
      <w:bookmarkStart w:id="146" w:name="_Toc367346139"/>
      <w:bookmarkStart w:id="147" w:name="_Toc367345900"/>
      <w:bookmarkStart w:id="148" w:name="_Toc367346140"/>
      <w:bookmarkStart w:id="149" w:name="_Toc367345901"/>
      <w:bookmarkStart w:id="150" w:name="_Toc367346141"/>
      <w:bookmarkStart w:id="151" w:name="_Toc367345902"/>
      <w:bookmarkStart w:id="152" w:name="_Toc367346142"/>
      <w:bookmarkStart w:id="153" w:name="_Toc367345903"/>
      <w:bookmarkStart w:id="154" w:name="_Toc367346143"/>
      <w:bookmarkStart w:id="155" w:name="_Toc367345904"/>
      <w:bookmarkStart w:id="156" w:name="_Toc367346144"/>
      <w:bookmarkStart w:id="157" w:name="_Toc367345905"/>
      <w:bookmarkStart w:id="158" w:name="_Toc367346145"/>
      <w:bookmarkStart w:id="159" w:name="_Toc367345914"/>
      <w:bookmarkStart w:id="160" w:name="_Toc367346154"/>
      <w:bookmarkStart w:id="161" w:name="_Toc367345922"/>
      <w:bookmarkStart w:id="162" w:name="_Toc367346162"/>
      <w:bookmarkStart w:id="163" w:name="_Toc367345930"/>
      <w:bookmarkStart w:id="164" w:name="_Toc367346170"/>
      <w:bookmarkStart w:id="165" w:name="_Toc367345934"/>
      <w:bookmarkStart w:id="166" w:name="_Toc367346174"/>
      <w:bookmarkStart w:id="167" w:name="_Toc367345946"/>
      <w:bookmarkStart w:id="168" w:name="_Toc367346186"/>
      <w:bookmarkStart w:id="169" w:name="_Toc367345954"/>
      <w:bookmarkStart w:id="170" w:name="_Toc367346194"/>
      <w:bookmarkStart w:id="171" w:name="_Toc367345958"/>
      <w:bookmarkStart w:id="172" w:name="_Toc367346198"/>
      <w:bookmarkStart w:id="173" w:name="_Toc367345966"/>
      <w:bookmarkStart w:id="174" w:name="_Toc367346206"/>
      <w:bookmarkStart w:id="175" w:name="_Toc367345970"/>
      <w:bookmarkStart w:id="176" w:name="_Toc367346210"/>
      <w:bookmarkStart w:id="177" w:name="_Toc367345971"/>
      <w:bookmarkStart w:id="178" w:name="_Toc367346211"/>
      <w:bookmarkStart w:id="179" w:name="_Toc367345972"/>
      <w:bookmarkStart w:id="180" w:name="_Toc367346212"/>
      <w:bookmarkStart w:id="181" w:name="_Toc367345973"/>
      <w:bookmarkStart w:id="182" w:name="_Toc367346213"/>
      <w:bookmarkStart w:id="183" w:name="_Toc367345974"/>
      <w:bookmarkStart w:id="184" w:name="_Toc367346214"/>
      <w:bookmarkStart w:id="185" w:name="_Toc367345975"/>
      <w:bookmarkStart w:id="186" w:name="_Toc367346215"/>
      <w:bookmarkStart w:id="187" w:name="_Toc367345976"/>
      <w:bookmarkStart w:id="188" w:name="_Toc367346216"/>
      <w:bookmarkStart w:id="189" w:name="_Toc367345977"/>
      <w:bookmarkStart w:id="190" w:name="_Toc367346217"/>
      <w:bookmarkStart w:id="191" w:name="_Toc367345978"/>
      <w:bookmarkStart w:id="192" w:name="_Toc367346218"/>
      <w:bookmarkStart w:id="193" w:name="_Toc367345979"/>
      <w:bookmarkStart w:id="194" w:name="_Toc367346219"/>
      <w:bookmarkStart w:id="195" w:name="_Toc367345980"/>
      <w:bookmarkStart w:id="196" w:name="_Toc367346220"/>
      <w:bookmarkStart w:id="197" w:name="_Toc367345981"/>
      <w:bookmarkStart w:id="198" w:name="_Toc367346221"/>
      <w:bookmarkStart w:id="199" w:name="_Toc367345982"/>
      <w:bookmarkStart w:id="200" w:name="_Toc367346222"/>
      <w:bookmarkStart w:id="201" w:name="_Toc367345983"/>
      <w:bookmarkStart w:id="202" w:name="_Toc367346223"/>
      <w:bookmarkStart w:id="203" w:name="_Toc367345984"/>
      <w:bookmarkStart w:id="204" w:name="_Toc367346224"/>
      <w:bookmarkStart w:id="205" w:name="_Toc367345985"/>
      <w:bookmarkStart w:id="206" w:name="_Toc367346225"/>
      <w:bookmarkStart w:id="207" w:name="_Toc367345986"/>
      <w:bookmarkStart w:id="208" w:name="_Toc367346226"/>
      <w:bookmarkStart w:id="209" w:name="_Toc367345987"/>
      <w:bookmarkStart w:id="210" w:name="_Toc367346227"/>
      <w:bookmarkStart w:id="211" w:name="_Toc367345988"/>
      <w:bookmarkStart w:id="212" w:name="_Toc367346228"/>
      <w:bookmarkStart w:id="213" w:name="_Toc367345989"/>
      <w:bookmarkStart w:id="214" w:name="_Toc367346229"/>
      <w:bookmarkStart w:id="215" w:name="_Toc367345990"/>
      <w:bookmarkStart w:id="216" w:name="_Toc367346230"/>
      <w:bookmarkStart w:id="217" w:name="_Toc367345991"/>
      <w:bookmarkStart w:id="218" w:name="_Toc367346231"/>
      <w:bookmarkStart w:id="219" w:name="_Toc367345992"/>
      <w:bookmarkStart w:id="220" w:name="_Toc367346232"/>
      <w:bookmarkStart w:id="221" w:name="_Toc365878855"/>
      <w:bookmarkStart w:id="222" w:name="_Toc377653143"/>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r w:rsidRPr="005D10C1">
        <w:rPr>
          <w:rFonts w:ascii="Candara" w:hAnsi="Candara"/>
          <w:color w:val="auto"/>
        </w:rPr>
        <w:t>Marco</w:t>
      </w:r>
      <w:r w:rsidR="008B4C7D" w:rsidRPr="005D10C1">
        <w:rPr>
          <w:rFonts w:ascii="Candara" w:hAnsi="Candara"/>
          <w:color w:val="auto"/>
        </w:rPr>
        <w:t xml:space="preserve"> </w:t>
      </w:r>
      <w:r w:rsidRPr="005D10C1">
        <w:rPr>
          <w:rFonts w:ascii="Candara" w:hAnsi="Candara"/>
          <w:color w:val="auto"/>
        </w:rPr>
        <w:t>I</w:t>
      </w:r>
      <w:r w:rsidR="008B4C7D" w:rsidRPr="005D10C1">
        <w:rPr>
          <w:rFonts w:ascii="Candara" w:hAnsi="Candara"/>
          <w:color w:val="auto"/>
        </w:rPr>
        <w:t>nternacional</w:t>
      </w:r>
      <w:bookmarkEnd w:id="221"/>
      <w:bookmarkEnd w:id="222"/>
    </w:p>
    <w:p w14:paraId="0CBC2898" w14:textId="77777777" w:rsidR="00C815FD" w:rsidRPr="005D10C1" w:rsidRDefault="008B4C7D">
      <w:pPr>
        <w:pStyle w:val="Ttulo2"/>
        <w:rPr>
          <w:rFonts w:ascii="Candara" w:hAnsi="Candara"/>
          <w:color w:val="auto"/>
        </w:rPr>
      </w:pPr>
      <w:bookmarkStart w:id="223" w:name="_Toc365878856"/>
      <w:bookmarkStart w:id="224" w:name="_Toc377653144"/>
      <w:r w:rsidRPr="005D10C1">
        <w:rPr>
          <w:rFonts w:ascii="Candara" w:hAnsi="Candara"/>
          <w:color w:val="auto"/>
        </w:rPr>
        <w:t>Estados Unidos</w:t>
      </w:r>
      <w:bookmarkEnd w:id="223"/>
      <w:bookmarkEnd w:id="224"/>
    </w:p>
    <w:p w14:paraId="296E0FE2" w14:textId="77777777" w:rsidR="00A94D13" w:rsidRPr="005D10C1" w:rsidRDefault="00A94D13" w:rsidP="006B0B4F">
      <w:pPr>
        <w:spacing w:line="360" w:lineRule="auto"/>
        <w:rPr>
          <w:rFonts w:ascii="Candara" w:hAnsi="Candara"/>
        </w:rPr>
      </w:pPr>
    </w:p>
    <w:p w14:paraId="7E642192" w14:textId="77777777" w:rsidR="00F33171" w:rsidRPr="005D10C1" w:rsidRDefault="005F5F73" w:rsidP="006B0B4F">
      <w:pPr>
        <w:spacing w:line="360" w:lineRule="auto"/>
        <w:rPr>
          <w:rFonts w:ascii="Candara" w:hAnsi="Candara"/>
        </w:rPr>
      </w:pPr>
      <w:r w:rsidRPr="005D10C1">
        <w:rPr>
          <w:rFonts w:ascii="Candara" w:hAnsi="Candara"/>
        </w:rPr>
        <w:t>El fenómeno Spin-off en Estados Unidos.</w:t>
      </w:r>
    </w:p>
    <w:p w14:paraId="6268E163" w14:textId="77777777" w:rsidR="00494A3B" w:rsidRPr="005D10C1" w:rsidRDefault="00494A3B" w:rsidP="00494A3B">
      <w:pPr>
        <w:spacing w:line="360" w:lineRule="auto"/>
        <w:rPr>
          <w:rFonts w:ascii="Candara" w:hAnsi="Candara" w:cs="Arial"/>
        </w:rPr>
      </w:pPr>
    </w:p>
    <w:p w14:paraId="6C9B7CD6" w14:textId="77777777" w:rsidR="00494A3B" w:rsidRPr="005D10C1" w:rsidRDefault="00494A3B" w:rsidP="00494A3B">
      <w:pPr>
        <w:spacing w:line="360" w:lineRule="auto"/>
        <w:rPr>
          <w:rFonts w:ascii="Candara" w:hAnsi="Candara" w:cs="Arial"/>
        </w:rPr>
      </w:pPr>
      <w:r w:rsidRPr="005D10C1">
        <w:rPr>
          <w:rFonts w:ascii="Candara" w:hAnsi="Candara" w:cs="Arial"/>
        </w:rPr>
        <w:t xml:space="preserve">La creación de </w:t>
      </w:r>
      <w:r w:rsidRPr="005D10C1">
        <w:rPr>
          <w:rFonts w:ascii="Candara" w:hAnsi="Candara" w:cs="Arial"/>
          <w:i/>
        </w:rPr>
        <w:t>spin-offs</w:t>
      </w:r>
      <w:r w:rsidRPr="005D10C1">
        <w:rPr>
          <w:rFonts w:ascii="Candara" w:hAnsi="Candara" w:cs="Arial"/>
        </w:rPr>
        <w:t xml:space="preserve"> académicas o universitarias es un fenómeno que lleva bastante tiempo en desarrollo, en el siglo XIX, en Alemania se dieron ejemplos de creación de empresas basadas en los resultados de investigación promovidos por profesores universitarios, particularmente en el área de productos químicos como sales, potasio, ácido acético y fertilizantes químicos (Etzkowitz, 1983).  No obstante, es en Estados Unidos en donde este mecanismo de transferencia se desarrolla de forma más generalizada y formalizada.</w:t>
      </w:r>
    </w:p>
    <w:p w14:paraId="241110D6" w14:textId="77777777" w:rsidR="00494A3B" w:rsidRPr="005D10C1" w:rsidRDefault="00494A3B" w:rsidP="00494A3B">
      <w:pPr>
        <w:spacing w:line="360" w:lineRule="auto"/>
        <w:rPr>
          <w:rFonts w:ascii="Candara" w:hAnsi="Candara" w:cs="Arial"/>
        </w:rPr>
      </w:pPr>
    </w:p>
    <w:p w14:paraId="3DBF9538" w14:textId="77777777" w:rsidR="00494A3B" w:rsidRPr="005D10C1" w:rsidRDefault="00494A3B" w:rsidP="00494A3B">
      <w:pPr>
        <w:spacing w:line="360" w:lineRule="auto"/>
        <w:rPr>
          <w:rFonts w:ascii="Candara" w:hAnsi="Candara" w:cs="Arial"/>
        </w:rPr>
      </w:pPr>
      <w:r w:rsidRPr="005D10C1">
        <w:rPr>
          <w:rFonts w:ascii="Candara" w:hAnsi="Candara" w:cs="Arial"/>
        </w:rPr>
        <w:t xml:space="preserve">Se puede decir que el desarrollo de las </w:t>
      </w:r>
      <w:r w:rsidRPr="005D10C1">
        <w:rPr>
          <w:rFonts w:ascii="Candara" w:hAnsi="Candara" w:cs="Arial"/>
          <w:i/>
        </w:rPr>
        <w:t>spin-offs</w:t>
      </w:r>
      <w:r w:rsidRPr="005D10C1">
        <w:rPr>
          <w:rFonts w:ascii="Candara" w:hAnsi="Candara" w:cs="Arial"/>
        </w:rPr>
        <w:t xml:space="preserve"> en Estados Unidos comienza en el siglo 19, con la aprobación del </w:t>
      </w:r>
      <w:r w:rsidRPr="005D10C1">
        <w:rPr>
          <w:rFonts w:ascii="Candara" w:hAnsi="Candara" w:cs="Arial"/>
          <w:i/>
        </w:rPr>
        <w:t>Morrill</w:t>
      </w:r>
      <w:r w:rsidR="004656C2" w:rsidRPr="005D10C1">
        <w:rPr>
          <w:rFonts w:ascii="Candara" w:hAnsi="Candara" w:cs="Arial"/>
          <w:i/>
        </w:rPr>
        <w:t xml:space="preserve"> Act</w:t>
      </w:r>
      <w:r w:rsidRPr="005D10C1">
        <w:rPr>
          <w:rFonts w:ascii="Candara" w:hAnsi="Candara" w:cs="Arial"/>
        </w:rPr>
        <w:t xml:space="preserve"> con la cual se concedieron terrenos y subve</w:t>
      </w:r>
      <w:r w:rsidR="00F86C97" w:rsidRPr="005D10C1">
        <w:rPr>
          <w:rFonts w:ascii="Candara" w:hAnsi="Candara" w:cs="Arial"/>
        </w:rPr>
        <w:t xml:space="preserve">nciones para la instalación de </w:t>
      </w:r>
      <w:r w:rsidRPr="005D10C1">
        <w:rPr>
          <w:rFonts w:ascii="Candara" w:hAnsi="Candara" w:cs="Arial"/>
          <w:i/>
        </w:rPr>
        <w:t>Land Grant Universities</w:t>
      </w:r>
      <w:r w:rsidRPr="005D10C1">
        <w:rPr>
          <w:rFonts w:ascii="Candara" w:hAnsi="Candara" w:cs="Arial"/>
        </w:rPr>
        <w:t xml:space="preserve">, que, además de </w:t>
      </w:r>
      <w:r w:rsidR="00767436" w:rsidRPr="005D10C1">
        <w:rPr>
          <w:rFonts w:ascii="Candara" w:hAnsi="Candara" w:cs="Arial"/>
        </w:rPr>
        <w:t>las funciones</w:t>
      </w:r>
      <w:r w:rsidRPr="005D10C1">
        <w:rPr>
          <w:rFonts w:ascii="Candara" w:hAnsi="Candara" w:cs="Arial"/>
        </w:rPr>
        <w:t xml:space="preserve"> tradicionales, estaban vinculadas y apoyaban el desarrollo agrícola e industrial de la región en la que estaban insertas. </w:t>
      </w:r>
      <w:commentRangeStart w:id="225"/>
      <w:r w:rsidRPr="009266AA">
        <w:rPr>
          <w:rFonts w:ascii="Candara" w:hAnsi="Candara" w:cs="Arial"/>
          <w:highlight w:val="yellow"/>
        </w:rPr>
        <w:t xml:space="preserve">En el </w:t>
      </w:r>
      <w:r w:rsidRPr="009266AA">
        <w:rPr>
          <w:rFonts w:ascii="Candara" w:hAnsi="Candara" w:cs="Arial"/>
          <w:i/>
          <w:highlight w:val="yellow"/>
        </w:rPr>
        <w:t>Hatch</w:t>
      </w:r>
      <w:r w:rsidR="006E1E8B" w:rsidRPr="009266AA">
        <w:rPr>
          <w:rFonts w:ascii="Candara" w:hAnsi="Candara" w:cs="Arial"/>
          <w:i/>
          <w:highlight w:val="yellow"/>
        </w:rPr>
        <w:t xml:space="preserve"> Act</w:t>
      </w:r>
      <w:r w:rsidRPr="009266AA">
        <w:rPr>
          <w:rFonts w:ascii="Candara" w:hAnsi="Candara" w:cs="Arial"/>
          <w:highlight w:val="yellow"/>
        </w:rPr>
        <w:t xml:space="preserve"> de 1887</w:t>
      </w:r>
      <w:commentRangeEnd w:id="225"/>
      <w:r w:rsidR="009266AA">
        <w:rPr>
          <w:rStyle w:val="Refdecomentario"/>
          <w:rFonts w:cstheme="minorBidi"/>
        </w:rPr>
        <w:commentReference w:id="225"/>
      </w:r>
      <w:r w:rsidRPr="005D10C1">
        <w:rPr>
          <w:rFonts w:ascii="Candara" w:hAnsi="Candara" w:cs="Arial"/>
        </w:rPr>
        <w:t xml:space="preserve">, se convoca a las universidades para que desarrollen y diseminen el conocimiento que resulte de la investigación académica para el desarrollo de la industria y la agricultura. </w:t>
      </w:r>
    </w:p>
    <w:p w14:paraId="79CC5703" w14:textId="77777777" w:rsidR="00494A3B" w:rsidRPr="005D10C1" w:rsidRDefault="00494A3B" w:rsidP="00494A3B">
      <w:pPr>
        <w:spacing w:line="360" w:lineRule="auto"/>
        <w:rPr>
          <w:rFonts w:ascii="Candara" w:hAnsi="Candara" w:cs="Arial"/>
        </w:rPr>
      </w:pPr>
    </w:p>
    <w:p w14:paraId="2F330DD8" w14:textId="77777777" w:rsidR="00494A3B" w:rsidRPr="005D10C1" w:rsidRDefault="00494A3B" w:rsidP="00494A3B">
      <w:pPr>
        <w:spacing w:line="360" w:lineRule="auto"/>
        <w:rPr>
          <w:rFonts w:ascii="Candara" w:hAnsi="Candara" w:cs="Arial"/>
        </w:rPr>
      </w:pPr>
      <w:r w:rsidRPr="005D10C1">
        <w:rPr>
          <w:rFonts w:ascii="Candara" w:hAnsi="Candara" w:cs="Arial"/>
        </w:rPr>
        <w:t>Posteriormente, a comienzos del siglo XX, se crea una institución intermediaria, la “</w:t>
      </w:r>
      <w:r w:rsidRPr="005D10C1">
        <w:rPr>
          <w:rFonts w:ascii="Candara" w:hAnsi="Candara" w:cs="Arial"/>
          <w:i/>
        </w:rPr>
        <w:t>Research Corporation</w:t>
      </w:r>
      <w:r w:rsidRPr="005D10C1">
        <w:rPr>
          <w:rFonts w:ascii="Candara" w:hAnsi="Candara" w:cs="Arial"/>
        </w:rPr>
        <w:t>”, la cual era la encargada del licenciamiento y venta a empresas privadas de la tecnología desarrollada en la</w:t>
      </w:r>
      <w:r w:rsidR="00F86C97" w:rsidRPr="005D10C1">
        <w:rPr>
          <w:rFonts w:ascii="Candara" w:hAnsi="Candara" w:cs="Arial"/>
        </w:rPr>
        <w:t>s</w:t>
      </w:r>
      <w:r w:rsidRPr="005D10C1">
        <w:rPr>
          <w:rFonts w:ascii="Candara" w:hAnsi="Candara" w:cs="Arial"/>
        </w:rPr>
        <w:t xml:space="preserve"> universidad</w:t>
      </w:r>
      <w:r w:rsidR="00F86C97" w:rsidRPr="005D10C1">
        <w:rPr>
          <w:rFonts w:ascii="Candara" w:hAnsi="Candara" w:cs="Arial"/>
        </w:rPr>
        <w:t>es</w:t>
      </w:r>
      <w:r w:rsidRPr="005D10C1">
        <w:rPr>
          <w:rFonts w:ascii="Candara" w:hAnsi="Candara" w:cs="Arial"/>
        </w:rPr>
        <w:t xml:space="preserve">.  </w:t>
      </w:r>
    </w:p>
    <w:p w14:paraId="54A6E5C5" w14:textId="77777777" w:rsidR="00494A3B" w:rsidRPr="005D10C1" w:rsidRDefault="00494A3B" w:rsidP="00494A3B">
      <w:pPr>
        <w:spacing w:line="360" w:lineRule="auto"/>
        <w:rPr>
          <w:rFonts w:ascii="Candara" w:hAnsi="Candara" w:cs="Arial"/>
        </w:rPr>
      </w:pPr>
    </w:p>
    <w:p w14:paraId="21C9894A" w14:textId="77777777" w:rsidR="00494A3B" w:rsidRPr="005D10C1" w:rsidRDefault="00494A3B" w:rsidP="00494A3B">
      <w:pPr>
        <w:spacing w:line="360" w:lineRule="auto"/>
        <w:rPr>
          <w:rFonts w:ascii="Candara" w:hAnsi="Candara" w:cs="Arial"/>
        </w:rPr>
      </w:pPr>
      <w:r w:rsidRPr="005D10C1">
        <w:rPr>
          <w:rFonts w:ascii="Candara" w:hAnsi="Candara" w:cs="Arial"/>
        </w:rPr>
        <w:lastRenderedPageBreak/>
        <w:t xml:space="preserve">En la época de las guerras, las universidades se involucran aún más en la investigación y el desarrollo de la tecnología como resultado del incremento de las relaciones con la industria </w:t>
      </w:r>
      <w:r w:rsidR="003B0D24" w:rsidRPr="005D10C1">
        <w:rPr>
          <w:rFonts w:ascii="Candara" w:hAnsi="Candara" w:cs="Arial"/>
        </w:rPr>
        <w:fldChar w:fldCharType="begin" w:fldLock="1"/>
      </w:r>
      <w:r w:rsidR="00CA1A09" w:rsidRPr="005D10C1">
        <w:rPr>
          <w:rFonts w:ascii="Candara" w:hAnsi="Candara" w:cs="Arial"/>
        </w:rPr>
        <w:instrText>ADDIN CSL_CITATION { "citationItems" : [ { "id" : "ITEM-1", "itemData" : { "ISBN" : "1 84376 454 7 (cased)", "author" : [ { "dropping-particle" : "", "family" : "Shane", "given" : "Scott Andrew", "non-dropping-particle" : "", "parse-names" : false, "suffix" : "" } ], "id" : "ITEM-1", "issued" : { "date-parts" : [ [ "2004" ] ] }, "page" : "335", "publisher" : "Edward Elgar Publishing Limited", "publisher-place" : "Cheltenham", "title" : "Academic entrepreneurship: University spinoffs and wealth creation", "type" : "book" }, "uris" : [ "http://www.mendeley.com/documents/?uuid=19de7b78-f5da-4230-9553-a2ed133a1170" ] } ], "mendeley" : { "previouslyFormattedCitation" : "(Shane, 2004)" }, "properties" : { "noteIndex" : 0 }, "schema" : "https://github.com/citation-style-language/schema/raw/master/csl-citation.json" }</w:instrText>
      </w:r>
      <w:r w:rsidR="003B0D24" w:rsidRPr="005D10C1">
        <w:rPr>
          <w:rFonts w:ascii="Candara" w:hAnsi="Candara" w:cs="Arial"/>
        </w:rPr>
        <w:fldChar w:fldCharType="separate"/>
      </w:r>
      <w:r w:rsidRPr="005D10C1">
        <w:rPr>
          <w:rFonts w:ascii="Candara" w:hAnsi="Candara" w:cs="Arial"/>
          <w:noProof/>
        </w:rPr>
        <w:t>(Shane, 2004)</w:t>
      </w:r>
      <w:r w:rsidR="003B0D24" w:rsidRPr="005D10C1">
        <w:rPr>
          <w:rFonts w:ascii="Candara" w:hAnsi="Candara" w:cs="Arial"/>
        </w:rPr>
        <w:fldChar w:fldCharType="end"/>
      </w:r>
      <w:r w:rsidRPr="005D10C1">
        <w:rPr>
          <w:rFonts w:ascii="Candara" w:hAnsi="Candara" w:cs="Arial"/>
        </w:rPr>
        <w:t xml:space="preserve">. Además, la Segunda Guerra Mundial marca un cambio en la universidad estadounidense al producirse un incremento de los presupuestos destinados a la investigación de las universidades y del porcentaje de financiación proveniente de los fondos federales para investigación lo cual continuó hasta </w:t>
      </w:r>
      <w:r w:rsidR="00D548B2" w:rsidRPr="005D10C1">
        <w:rPr>
          <w:rFonts w:ascii="Candara" w:hAnsi="Candara" w:cs="Arial"/>
        </w:rPr>
        <w:t xml:space="preserve">el fin de </w:t>
      </w:r>
      <w:r w:rsidRPr="005D10C1">
        <w:rPr>
          <w:rFonts w:ascii="Candara" w:hAnsi="Candara" w:cs="Arial"/>
        </w:rPr>
        <w:t xml:space="preserve">la Guerra Fría. El incremento en la financiación de la investigación federal llevó a la creación de una generación de empresas </w:t>
      </w:r>
      <w:r w:rsidRPr="005D10C1">
        <w:rPr>
          <w:rFonts w:ascii="Candara" w:hAnsi="Candara" w:cs="Arial"/>
          <w:i/>
        </w:rPr>
        <w:t>spin-off</w:t>
      </w:r>
      <w:r w:rsidRPr="005D10C1">
        <w:rPr>
          <w:rFonts w:ascii="Candara" w:hAnsi="Candara" w:cs="Arial"/>
        </w:rPr>
        <w:t xml:space="preserve"> con el propósito de comercializar los resultados de la investigación financiada por el gobierno federal.  </w:t>
      </w:r>
    </w:p>
    <w:p w14:paraId="4BA4A3BD" w14:textId="77777777" w:rsidR="00494A3B" w:rsidRPr="005D10C1" w:rsidRDefault="00494A3B" w:rsidP="00494A3B">
      <w:pPr>
        <w:spacing w:line="360" w:lineRule="auto"/>
        <w:rPr>
          <w:rFonts w:ascii="Candara" w:hAnsi="Candara" w:cs="Arial"/>
        </w:rPr>
      </w:pPr>
    </w:p>
    <w:p w14:paraId="062A6AEC" w14:textId="77777777" w:rsidR="00494A3B" w:rsidRPr="005D10C1" w:rsidRDefault="00494A3B" w:rsidP="00494A3B">
      <w:pPr>
        <w:spacing w:line="360" w:lineRule="auto"/>
        <w:rPr>
          <w:rFonts w:ascii="Candara" w:hAnsi="Candara" w:cs="Arial"/>
        </w:rPr>
      </w:pPr>
      <w:r w:rsidRPr="005D10C1">
        <w:rPr>
          <w:rFonts w:ascii="Candara" w:hAnsi="Candara" w:cs="Arial"/>
        </w:rPr>
        <w:t xml:space="preserve">Desde el año 1970 se produce un incremento en la producción de patentes universitarias, así como un aumento en la productividad de las universidades. </w:t>
      </w:r>
      <w:r w:rsidR="00D548B2" w:rsidRPr="005D10C1">
        <w:rPr>
          <w:rFonts w:ascii="Candara" w:hAnsi="Candara" w:cs="Arial"/>
        </w:rPr>
        <w:t>Diversas</w:t>
      </w:r>
      <w:r w:rsidRPr="005D10C1">
        <w:rPr>
          <w:rFonts w:ascii="Candara" w:hAnsi="Candara" w:cs="Arial"/>
        </w:rPr>
        <w:t xml:space="preserve"> universidades empiezan a desarrollar políticas para fomentar la generación de </w:t>
      </w:r>
      <w:r w:rsidRPr="005D10C1">
        <w:rPr>
          <w:rFonts w:ascii="Candara" w:hAnsi="Candara" w:cs="Arial"/>
          <w:i/>
        </w:rPr>
        <w:t>spin-offs</w:t>
      </w:r>
      <w:r w:rsidRPr="005D10C1">
        <w:rPr>
          <w:rFonts w:ascii="Candara" w:hAnsi="Candara" w:cs="Arial"/>
        </w:rPr>
        <w:t xml:space="preserve">, tanto a través de asistencia directa como por medio de fondos de capital riesgo.  Pero algunas políticas dificultaron la comercialización de las invenciones financiadas con fondos federales </w:t>
      </w:r>
      <w:r w:rsidR="003B0D24" w:rsidRPr="005D10C1">
        <w:rPr>
          <w:rFonts w:ascii="Candara" w:hAnsi="Candara" w:cs="Arial"/>
        </w:rPr>
        <w:fldChar w:fldCharType="begin" w:fldLock="1"/>
      </w:r>
      <w:r w:rsidR="00CA1A09" w:rsidRPr="005D10C1">
        <w:rPr>
          <w:rFonts w:ascii="Candara" w:hAnsi="Candara" w:cs="Arial"/>
        </w:rPr>
        <w:instrText>ADDIN CSL_CITATION { "citationItems" : [ { "id" : "ITEM-1", "itemData" : { "author" : [ { "dropping-particle" : "", "family" : "Morales", "given" : "Silvia Teresa", "non-dropping-particle" : "", "parse-names" : false, "suffix" : "" } ], "id" : "ITEM-1", "issued" : { "date-parts" : [ [ "2008" ] ] }, "page" : "343", "publisher" : "Universitat de Valencia", "title" : "El emprendedor acad\u00e9mico y la decisi\u00f3n de crear Spin off: Un an\u00e1lisis del caso espa\u00f1ol.", "type" : "thesis" }, "uris" : [ "http://www.mendeley.com/documents/?uuid=10080cd6-1b1f-4c9b-975a-58b830c57e62" ] } ], "mendeley" : { "manualFormatting" : "(Morales, 2008)", "previouslyFormattedCitation" : "(Morales, 2008)" }, "properties" : { "noteIndex" : 0 }, "schema" : "https://github.com/citation-style-language/schema/raw/master/csl-citation.json" }</w:instrText>
      </w:r>
      <w:r w:rsidR="003B0D24" w:rsidRPr="005D10C1">
        <w:rPr>
          <w:rFonts w:ascii="Candara" w:hAnsi="Candara" w:cs="Arial"/>
        </w:rPr>
        <w:fldChar w:fldCharType="separate"/>
      </w:r>
      <w:r w:rsidRPr="005D10C1">
        <w:rPr>
          <w:rFonts w:ascii="Candara" w:hAnsi="Candara" w:cs="Arial"/>
          <w:noProof/>
        </w:rPr>
        <w:t>(Morales, 2008)</w:t>
      </w:r>
      <w:r w:rsidR="003B0D24" w:rsidRPr="005D10C1">
        <w:rPr>
          <w:rFonts w:ascii="Candara" w:hAnsi="Candara" w:cs="Arial"/>
        </w:rPr>
        <w:fldChar w:fldCharType="end"/>
      </w:r>
      <w:r w:rsidRPr="005D10C1">
        <w:rPr>
          <w:rFonts w:ascii="Candara" w:hAnsi="Candara" w:cs="Arial"/>
        </w:rPr>
        <w:t xml:space="preserve">. </w:t>
      </w:r>
      <w:r w:rsidR="00D548B2" w:rsidRPr="009266AA">
        <w:rPr>
          <w:rFonts w:ascii="Candara" w:hAnsi="Candara" w:cs="Arial"/>
          <w:highlight w:val="yellow"/>
        </w:rPr>
        <w:t xml:space="preserve">En 1980 se resolvieron dichas dificultades con la aprobación de la </w:t>
      </w:r>
      <w:r w:rsidR="00D548B2" w:rsidRPr="009266AA">
        <w:rPr>
          <w:rFonts w:ascii="Candara" w:hAnsi="Candara" w:cs="Arial"/>
          <w:i/>
          <w:highlight w:val="yellow"/>
        </w:rPr>
        <w:t>Bay-Dole Act</w:t>
      </w:r>
      <w:r w:rsidR="00D548B2" w:rsidRPr="005D10C1">
        <w:rPr>
          <w:rFonts w:ascii="Candara" w:hAnsi="Candara" w:cs="Arial"/>
        </w:rPr>
        <w:t>, la cual otorgó a las universidades los derechos de propiedad sobre todas las invenciones financiadas con fondos federales.</w:t>
      </w:r>
      <w:r w:rsidRPr="005D10C1">
        <w:rPr>
          <w:rFonts w:ascii="Candara" w:hAnsi="Candara" w:cs="Arial"/>
        </w:rPr>
        <w:t xml:space="preserve">  </w:t>
      </w:r>
      <w:r w:rsidR="00DB6845" w:rsidRPr="005D10C1">
        <w:rPr>
          <w:rFonts w:ascii="Candara" w:hAnsi="Candara" w:cs="Arial"/>
        </w:rPr>
        <w:t xml:space="preserve">La </w:t>
      </w:r>
      <w:r w:rsidR="00DB6845" w:rsidRPr="005D10C1">
        <w:rPr>
          <w:rFonts w:ascii="Candara" w:hAnsi="Candara" w:cs="Arial"/>
          <w:i/>
        </w:rPr>
        <w:t>Bay-Dole Act</w:t>
      </w:r>
      <w:r w:rsidR="006F0A0E" w:rsidRPr="005D10C1">
        <w:rPr>
          <w:rFonts w:ascii="Candara" w:hAnsi="Candara" w:cs="Arial"/>
          <w:i/>
        </w:rPr>
        <w:t xml:space="preserve"> </w:t>
      </w:r>
      <w:r w:rsidRPr="005D10C1">
        <w:rPr>
          <w:rFonts w:ascii="Candara" w:hAnsi="Candara" w:cs="Arial"/>
        </w:rPr>
        <w:t xml:space="preserve">se </w:t>
      </w:r>
      <w:r w:rsidR="00DB6845" w:rsidRPr="005D10C1">
        <w:rPr>
          <w:rFonts w:ascii="Candara" w:hAnsi="Candara" w:cs="Arial"/>
        </w:rPr>
        <w:t xml:space="preserve">considera muy </w:t>
      </w:r>
      <w:r w:rsidRPr="005D10C1">
        <w:rPr>
          <w:rFonts w:ascii="Candara" w:hAnsi="Candara" w:cs="Arial"/>
        </w:rPr>
        <w:t xml:space="preserve">importante para el desarrollo de las </w:t>
      </w:r>
      <w:r w:rsidRPr="005D10C1">
        <w:rPr>
          <w:rFonts w:ascii="Candara" w:hAnsi="Candara" w:cs="Arial"/>
          <w:i/>
        </w:rPr>
        <w:t>spin-offs</w:t>
      </w:r>
      <w:r w:rsidRPr="005D10C1">
        <w:rPr>
          <w:rFonts w:ascii="Candara" w:hAnsi="Candara" w:cs="Arial"/>
        </w:rPr>
        <w:t xml:space="preserve"> en Estados Unidos. </w:t>
      </w:r>
    </w:p>
    <w:p w14:paraId="24548A5F" w14:textId="77777777" w:rsidR="00494A3B" w:rsidRPr="005D10C1" w:rsidRDefault="00494A3B" w:rsidP="00494A3B">
      <w:pPr>
        <w:spacing w:line="360" w:lineRule="auto"/>
        <w:rPr>
          <w:rFonts w:ascii="Candara" w:hAnsi="Candara" w:cs="Arial"/>
        </w:rPr>
      </w:pPr>
    </w:p>
    <w:p w14:paraId="5A4D1F8C" w14:textId="77777777" w:rsidR="00494A3B" w:rsidRPr="005D10C1" w:rsidRDefault="00494A3B" w:rsidP="00494A3B">
      <w:pPr>
        <w:spacing w:line="360" w:lineRule="auto"/>
        <w:rPr>
          <w:rFonts w:ascii="Candara" w:hAnsi="Candara" w:cs="Arial"/>
        </w:rPr>
      </w:pPr>
      <w:r w:rsidRPr="005D10C1">
        <w:rPr>
          <w:rFonts w:ascii="Candara" w:hAnsi="Candara" w:cs="Arial"/>
        </w:rPr>
        <w:t xml:space="preserve">Luego de las medidas tomadas se generó un incremento en la creación y comercialización de tecnología universitaria, reflejado en un mayor número de invenciones, patentes, y licencias, así como en el aumento de los ingresos por licenciamiento y en la formación de spin-offs lo que ha permitido reconocer a Estados Unidos como líder mundial en la generación de éste tipo de compañías </w:t>
      </w:r>
      <w:r w:rsidR="003B0D24" w:rsidRPr="005D10C1">
        <w:rPr>
          <w:rFonts w:ascii="Candara" w:hAnsi="Candara" w:cs="Arial"/>
        </w:rPr>
        <w:fldChar w:fldCharType="begin" w:fldLock="1"/>
      </w:r>
      <w:r w:rsidR="00CA1A09" w:rsidRPr="005D10C1">
        <w:rPr>
          <w:rFonts w:ascii="Candara" w:hAnsi="Candara" w:cs="Arial"/>
        </w:rPr>
        <w:instrText>ADDIN CSL_CITATION { "citationItems" : [ { "id" : "ITEM-1", "itemData" : { "author" : [ { "dropping-particle" : "", "family" : "Morales", "given" : "Silvia Teresa", "non-dropping-particle" : "", "parse-names" : false, "suffix" : "" } ], "id" : "ITEM-1", "issued" : { "date-parts" : [ [ "2008" ] ] }, "page" : "343", "publisher" : "Universitat de Valencia", "title" : "El emprendedor acad\u00e9mico y la decisi\u00f3n de crear Spin off: Un an\u00e1lisis del caso espa\u00f1ol.", "type" : "thesis" }, "uris" : [ "http://www.mendeley.com/documents/?uuid=10080cd6-1b1f-4c9b-975a-58b830c57e62" ] } ], "mendeley" : { "previouslyFormattedCitation" : "(Morales, 2008)" }, "properties" : { "noteIndex" : 0 }, "schema" : "https://github.com/citation-style-language/schema/raw/master/csl-citation.json" }</w:instrText>
      </w:r>
      <w:r w:rsidR="003B0D24" w:rsidRPr="005D10C1">
        <w:rPr>
          <w:rFonts w:ascii="Candara" w:hAnsi="Candara" w:cs="Arial"/>
        </w:rPr>
        <w:fldChar w:fldCharType="separate"/>
      </w:r>
      <w:r w:rsidRPr="005D10C1">
        <w:rPr>
          <w:rFonts w:ascii="Candara" w:hAnsi="Candara" w:cs="Arial"/>
          <w:noProof/>
        </w:rPr>
        <w:t>(Morales, 2008)</w:t>
      </w:r>
      <w:r w:rsidR="003B0D24" w:rsidRPr="005D10C1">
        <w:rPr>
          <w:rFonts w:ascii="Candara" w:hAnsi="Candara" w:cs="Arial"/>
        </w:rPr>
        <w:fldChar w:fldCharType="end"/>
      </w:r>
      <w:r w:rsidRPr="005D10C1">
        <w:rPr>
          <w:rFonts w:ascii="Candara" w:hAnsi="Candara" w:cs="Arial"/>
        </w:rPr>
        <w:t>.</w:t>
      </w:r>
    </w:p>
    <w:p w14:paraId="5BC0312C" w14:textId="77777777" w:rsidR="00494A3B" w:rsidRPr="005D10C1" w:rsidRDefault="00494A3B" w:rsidP="00494A3B">
      <w:pPr>
        <w:spacing w:line="360" w:lineRule="auto"/>
        <w:rPr>
          <w:rFonts w:ascii="Candara" w:hAnsi="Candara"/>
        </w:rPr>
      </w:pPr>
    </w:p>
    <w:p w14:paraId="772B53BA" w14:textId="77777777" w:rsidR="005F45F3" w:rsidRPr="005D10C1" w:rsidRDefault="005F45F3" w:rsidP="005F45F3">
      <w:pPr>
        <w:spacing w:line="360" w:lineRule="auto"/>
        <w:rPr>
          <w:rFonts w:ascii="Candara" w:hAnsi="Candara"/>
        </w:rPr>
      </w:pPr>
      <w:r w:rsidRPr="005D10C1">
        <w:rPr>
          <w:rFonts w:ascii="Candara" w:hAnsi="Candara"/>
        </w:rPr>
        <w:lastRenderedPageBreak/>
        <w:t xml:space="preserve">Además de los cambios anteriormente mencionados, Shane (2004) señala que el incremento considerable de la actividad </w:t>
      </w:r>
      <w:r w:rsidRPr="005D10C1">
        <w:rPr>
          <w:rFonts w:ascii="Candara" w:hAnsi="Candara"/>
          <w:i/>
        </w:rPr>
        <w:t xml:space="preserve">spin-off </w:t>
      </w:r>
      <w:r w:rsidRPr="005D10C1">
        <w:rPr>
          <w:rFonts w:ascii="Candara" w:hAnsi="Candara"/>
        </w:rPr>
        <w:t>en Estados Unidos</w:t>
      </w:r>
      <w:r w:rsidRPr="005D10C1">
        <w:rPr>
          <w:rFonts w:ascii="Candara" w:hAnsi="Candara"/>
          <w:i/>
        </w:rPr>
        <w:t xml:space="preserve">, </w:t>
      </w:r>
      <w:r w:rsidRPr="005D10C1">
        <w:rPr>
          <w:rFonts w:ascii="Candara" w:hAnsi="Candara"/>
        </w:rPr>
        <w:t xml:space="preserve">se debe al nacimiento y crecimiento de la tecnología biomédica, los cambios en las leyes de patentes, el efecto de “contagio” de la actividad </w:t>
      </w:r>
      <w:r w:rsidRPr="005D10C1">
        <w:rPr>
          <w:rFonts w:ascii="Candara" w:hAnsi="Candara"/>
          <w:i/>
        </w:rPr>
        <w:t>spin-off</w:t>
      </w:r>
      <w:r w:rsidRPr="005D10C1">
        <w:rPr>
          <w:rFonts w:ascii="Candara" w:hAnsi="Candara"/>
        </w:rPr>
        <w:t>, los cambios en el proceso de financiamiento, y el crecimiento del uso de las participaciones de capital de las universidades.</w:t>
      </w:r>
    </w:p>
    <w:p w14:paraId="5437F23E" w14:textId="77777777" w:rsidR="009714C8" w:rsidRPr="005D10C1" w:rsidRDefault="009714C8" w:rsidP="009714C8">
      <w:pPr>
        <w:spacing w:line="360" w:lineRule="auto"/>
        <w:rPr>
          <w:rFonts w:ascii="Candara" w:hAnsi="Candara"/>
        </w:rPr>
      </w:pPr>
    </w:p>
    <w:p w14:paraId="01550F1E" w14:textId="77777777" w:rsidR="005F45F3" w:rsidRPr="005D10C1" w:rsidRDefault="009714C8" w:rsidP="0019149C">
      <w:pPr>
        <w:spacing w:line="360" w:lineRule="auto"/>
        <w:rPr>
          <w:rFonts w:ascii="Candara" w:hAnsi="Candara"/>
          <w:b/>
          <w:highlight w:val="yellow"/>
          <w:lang w:val="es-ES"/>
        </w:rPr>
      </w:pPr>
      <w:r w:rsidRPr="005D10C1">
        <w:rPr>
          <w:rFonts w:ascii="Candara" w:hAnsi="Candara"/>
        </w:rPr>
        <w:t xml:space="preserve">La creación de las spin-off universitarias en Estados Unidos </w:t>
      </w:r>
      <w:r w:rsidR="00494A3B" w:rsidRPr="005D10C1">
        <w:rPr>
          <w:rFonts w:ascii="Candara" w:hAnsi="Candara"/>
        </w:rPr>
        <w:t>sigue manteniendo</w:t>
      </w:r>
      <w:r w:rsidRPr="005D10C1">
        <w:rPr>
          <w:rFonts w:ascii="Candara" w:hAnsi="Candara"/>
        </w:rPr>
        <w:t xml:space="preserve"> una tendencia </w:t>
      </w:r>
      <w:r w:rsidR="00494A3B" w:rsidRPr="005D10C1">
        <w:rPr>
          <w:rFonts w:ascii="Candara" w:hAnsi="Candara"/>
        </w:rPr>
        <w:t>creciente</w:t>
      </w:r>
      <w:r w:rsidRPr="005D10C1">
        <w:rPr>
          <w:rFonts w:ascii="Candara" w:hAnsi="Candara"/>
        </w:rPr>
        <w:t xml:space="preserve"> tal como se evidencia en la</w:t>
      </w:r>
      <w:r w:rsidR="000934AF" w:rsidRPr="005D10C1">
        <w:rPr>
          <w:rFonts w:ascii="Candara" w:hAnsi="Candara"/>
        </w:rPr>
        <w:t xml:space="preserve"> </w:t>
      </w:r>
      <w:r w:rsidR="00A57352">
        <w:fldChar w:fldCharType="begin"/>
      </w:r>
      <w:r w:rsidR="00A57352">
        <w:instrText xml:space="preserve"> REF _Ref374621715 \h  \* MERGEFORMAT </w:instrText>
      </w:r>
      <w:r w:rsidR="00A57352">
        <w:fldChar w:fldCharType="separate"/>
      </w:r>
      <w:r w:rsidR="005D10C1" w:rsidRPr="005D10C1">
        <w:rPr>
          <w:rFonts w:ascii="Candara" w:hAnsi="Candara"/>
        </w:rPr>
        <w:t>Ilustración 1</w:t>
      </w:r>
      <w:r w:rsidR="00A57352">
        <w:fldChar w:fldCharType="end"/>
      </w:r>
      <w:r w:rsidR="0019149C" w:rsidRPr="005D10C1">
        <w:rPr>
          <w:rFonts w:ascii="Candara" w:hAnsi="Candara"/>
        </w:rPr>
        <w:t xml:space="preserve"> </w:t>
      </w:r>
      <w:r w:rsidR="003B0D24" w:rsidRPr="005D10C1">
        <w:rPr>
          <w:rFonts w:ascii="Candara" w:hAnsi="Candara"/>
        </w:rPr>
        <w:fldChar w:fldCharType="begin" w:fldLock="1"/>
      </w:r>
      <w:r w:rsidR="005F45F3" w:rsidRPr="005D10C1">
        <w:rPr>
          <w:rFonts w:ascii="Candara" w:hAnsi="Candara"/>
          <w:lang w:val="es-ES"/>
        </w:rPr>
        <w:instrText>ADDIN CSL_CITATION { "citationItems" : [ { "id" : "ITEM-1", "itemData" : { "URL" : "http://entremeister.typepad.com/vinit_nijhawan/2011/05/investing-in-university-spin-offs.html", "accessed" : { "date-parts" : [ [ "2013", "9", "17" ] ] }, "id" : "ITEM-1", "issued" : { "date-parts" : [ [ "2011" ] ] }, "title" : "Investing in University Spin-Offs", "type" : "webpage" }, "uris" : [ "http://www.mendeley.com/documents/?uuid=232647bc-6179-46b1-b65a-6333e7218ff0" ] } ], "mendeley" : { "previouslyFormattedCitation" : "(\u201cInvesting in University Spin-Offs,\u201d 2011)" }, "properties" : { "noteIndex" : 0 }, "schema" : "https://github.com/citation-style-language/schema/raw/master/csl-citation.json" }</w:instrText>
      </w:r>
      <w:r w:rsidR="003B0D24" w:rsidRPr="005D10C1">
        <w:rPr>
          <w:rFonts w:ascii="Candara" w:hAnsi="Candara"/>
        </w:rPr>
        <w:fldChar w:fldCharType="separate"/>
      </w:r>
      <w:r w:rsidR="005F45F3" w:rsidRPr="005D10C1">
        <w:rPr>
          <w:rFonts w:ascii="Candara" w:hAnsi="Candara"/>
          <w:noProof/>
          <w:lang w:val="es-ES"/>
        </w:rPr>
        <w:t>(“Investing in University Spin-Offs,” 2011)</w:t>
      </w:r>
      <w:r w:rsidR="003B0D24" w:rsidRPr="005D10C1">
        <w:rPr>
          <w:rFonts w:ascii="Candara" w:hAnsi="Candara"/>
        </w:rPr>
        <w:fldChar w:fldCharType="end"/>
      </w:r>
      <w:r w:rsidR="0019149C" w:rsidRPr="005D10C1">
        <w:rPr>
          <w:rFonts w:ascii="Candara" w:hAnsi="Candara"/>
        </w:rPr>
        <w:t>.</w:t>
      </w:r>
    </w:p>
    <w:p w14:paraId="3731962A" w14:textId="77777777" w:rsidR="00C0252A" w:rsidRPr="005D10C1" w:rsidRDefault="00C0252A" w:rsidP="009714C8">
      <w:pPr>
        <w:spacing w:line="360" w:lineRule="auto"/>
        <w:rPr>
          <w:rFonts w:ascii="Candara" w:hAnsi="Candara"/>
          <w:lang w:val="es-ES"/>
        </w:rPr>
      </w:pPr>
    </w:p>
    <w:p w14:paraId="045A9FCE" w14:textId="77777777" w:rsidR="009714C8" w:rsidRPr="005D10C1" w:rsidRDefault="000934AF" w:rsidP="006F0A0E">
      <w:pPr>
        <w:spacing w:line="360" w:lineRule="auto"/>
        <w:jc w:val="center"/>
        <w:rPr>
          <w:rFonts w:ascii="Candara" w:hAnsi="Candara"/>
        </w:rPr>
      </w:pPr>
      <w:r w:rsidRPr="005D10C1">
        <w:rPr>
          <w:rFonts w:ascii="Candara" w:hAnsi="Candara"/>
          <w:noProof/>
          <w:lang w:eastAsia="es-CO"/>
        </w:rPr>
        <w:drawing>
          <wp:inline distT="0" distB="0" distL="0" distR="0" wp14:anchorId="5FC06957" wp14:editId="73961448">
            <wp:extent cx="4521516" cy="2793688"/>
            <wp:effectExtent l="0" t="0" r="12700" b="6985"/>
            <wp:docPr id="2"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23B158E9" w14:textId="77777777" w:rsidR="00EC4332" w:rsidRPr="005D10C1" w:rsidRDefault="009714C8" w:rsidP="006F0A0E">
      <w:pPr>
        <w:pStyle w:val="Descripcin"/>
        <w:jc w:val="left"/>
        <w:rPr>
          <w:rFonts w:ascii="Candara" w:hAnsi="Candara"/>
          <w:b w:val="0"/>
          <w:color w:val="auto"/>
          <w:sz w:val="20"/>
          <w:szCs w:val="20"/>
          <w:highlight w:val="yellow"/>
        </w:rPr>
      </w:pPr>
      <w:bookmarkStart w:id="226" w:name="_Ref374621715"/>
      <w:bookmarkStart w:id="227" w:name="_Toc374621192"/>
      <w:bookmarkStart w:id="228" w:name="_Toc377652592"/>
      <w:bookmarkStart w:id="229" w:name="_Ref372375516"/>
      <w:r w:rsidRPr="005D10C1">
        <w:rPr>
          <w:rFonts w:ascii="Candara" w:hAnsi="Candara"/>
          <w:b w:val="0"/>
          <w:color w:val="auto"/>
          <w:sz w:val="20"/>
          <w:szCs w:val="20"/>
        </w:rPr>
        <w:t xml:space="preserve">Ilustración </w:t>
      </w:r>
      <w:r w:rsidR="003B0D24" w:rsidRPr="005D10C1">
        <w:rPr>
          <w:rFonts w:ascii="Candara" w:hAnsi="Candara"/>
          <w:b w:val="0"/>
          <w:color w:val="auto"/>
          <w:sz w:val="20"/>
          <w:szCs w:val="20"/>
        </w:rPr>
        <w:fldChar w:fldCharType="begin"/>
      </w:r>
      <w:r w:rsidR="003C34FE" w:rsidRPr="005D10C1">
        <w:rPr>
          <w:rFonts w:ascii="Candara" w:hAnsi="Candara"/>
          <w:b w:val="0"/>
          <w:bCs w:val="0"/>
          <w:color w:val="auto"/>
          <w:sz w:val="20"/>
          <w:szCs w:val="20"/>
        </w:rPr>
        <w:instrText xml:space="preserve"> SEQ Ilustración \* ARABIC </w:instrText>
      </w:r>
      <w:r w:rsidR="003B0D24" w:rsidRPr="005D10C1">
        <w:rPr>
          <w:rFonts w:ascii="Candara" w:hAnsi="Candara"/>
          <w:b w:val="0"/>
          <w:color w:val="auto"/>
          <w:sz w:val="20"/>
          <w:szCs w:val="20"/>
        </w:rPr>
        <w:fldChar w:fldCharType="separate"/>
      </w:r>
      <w:r w:rsidR="005D10C1">
        <w:rPr>
          <w:rFonts w:ascii="Candara" w:hAnsi="Candara"/>
          <w:b w:val="0"/>
          <w:bCs w:val="0"/>
          <w:noProof/>
          <w:color w:val="auto"/>
          <w:sz w:val="20"/>
          <w:szCs w:val="20"/>
        </w:rPr>
        <w:t>1</w:t>
      </w:r>
      <w:r w:rsidR="003B0D24" w:rsidRPr="005D10C1">
        <w:rPr>
          <w:rFonts w:ascii="Candara" w:hAnsi="Candara"/>
          <w:b w:val="0"/>
          <w:color w:val="auto"/>
          <w:sz w:val="20"/>
          <w:szCs w:val="20"/>
        </w:rPr>
        <w:fldChar w:fldCharType="end"/>
      </w:r>
      <w:bookmarkEnd w:id="226"/>
      <w:r w:rsidRPr="005D10C1">
        <w:rPr>
          <w:rFonts w:ascii="Candara" w:hAnsi="Candara"/>
          <w:b w:val="0"/>
          <w:color w:val="auto"/>
          <w:sz w:val="20"/>
          <w:szCs w:val="20"/>
        </w:rPr>
        <w:t>: Número de Spin-Off creadas en Estados Unidos</w:t>
      </w:r>
      <w:bookmarkEnd w:id="227"/>
      <w:bookmarkEnd w:id="228"/>
      <w:r w:rsidR="003C34FE" w:rsidRPr="005D10C1">
        <w:rPr>
          <w:rFonts w:ascii="Candara" w:hAnsi="Candara"/>
          <w:b w:val="0"/>
          <w:bCs w:val="0"/>
          <w:color w:val="auto"/>
          <w:sz w:val="20"/>
          <w:szCs w:val="20"/>
        </w:rPr>
        <w:t xml:space="preserve"> </w:t>
      </w:r>
      <w:bookmarkEnd w:id="229"/>
    </w:p>
    <w:p w14:paraId="65ACA986" w14:textId="77777777" w:rsidR="009714C8" w:rsidRPr="005D10C1" w:rsidRDefault="009714C8" w:rsidP="009714C8">
      <w:pPr>
        <w:spacing w:line="360" w:lineRule="auto"/>
        <w:rPr>
          <w:rFonts w:ascii="Candara" w:hAnsi="Candara"/>
          <w:highlight w:val="yellow"/>
        </w:rPr>
      </w:pPr>
    </w:p>
    <w:p w14:paraId="2BF07371" w14:textId="77777777" w:rsidR="009714C8" w:rsidRPr="005D10C1" w:rsidRDefault="00085DB1" w:rsidP="009714C8">
      <w:pPr>
        <w:spacing w:line="360" w:lineRule="auto"/>
        <w:rPr>
          <w:rFonts w:ascii="Candara" w:hAnsi="Candara"/>
        </w:rPr>
      </w:pPr>
      <w:r w:rsidRPr="005D10C1">
        <w:rPr>
          <w:rFonts w:ascii="Candara" w:hAnsi="Candara"/>
        </w:rPr>
        <w:t>Es importante señalar que en el caso estadounidense, ampliamente estudiado por</w:t>
      </w:r>
      <w:r w:rsidR="009714C8" w:rsidRPr="005D10C1">
        <w:rPr>
          <w:rFonts w:ascii="Candara" w:hAnsi="Candara"/>
        </w:rPr>
        <w:t xml:space="preserve"> Shane (2004)</w:t>
      </w:r>
      <w:r w:rsidRPr="005D10C1">
        <w:rPr>
          <w:rFonts w:ascii="Candara" w:hAnsi="Candara"/>
        </w:rPr>
        <w:t>,</w:t>
      </w:r>
      <w:r w:rsidR="009714C8" w:rsidRPr="005D10C1">
        <w:rPr>
          <w:rFonts w:ascii="Candara" w:hAnsi="Candara"/>
        </w:rPr>
        <w:t xml:space="preserve"> </w:t>
      </w:r>
      <w:r w:rsidR="009714C8" w:rsidRPr="005D10C1">
        <w:rPr>
          <w:rFonts w:ascii="Candara" w:hAnsi="Candara"/>
          <w:i/>
        </w:rPr>
        <w:t xml:space="preserve">“las spin-off universitarias son una nueva compañía fundada para explotar una parte de la propiedad intelectual generada en una institución académica. Las empresas establecidas por los miembros actuales o anteriores de una universidad, que no </w:t>
      </w:r>
      <w:r w:rsidR="009714C8" w:rsidRPr="005D10C1">
        <w:rPr>
          <w:rFonts w:ascii="Candara" w:hAnsi="Candara"/>
          <w:i/>
        </w:rPr>
        <w:lastRenderedPageBreak/>
        <w:t>comercializan la propiedad intelectual creada en las instituciones académicas, no están incluidos en la definición de un spin-off” (p.4)</w:t>
      </w:r>
      <w:r w:rsidR="009714C8" w:rsidRPr="005D10C1">
        <w:rPr>
          <w:rFonts w:ascii="Candara" w:hAnsi="Candara"/>
        </w:rPr>
        <w:t xml:space="preserve">.  La propiedad intelectual en este tipo de empresas puede estar protegida mediante patente, </w:t>
      </w:r>
      <w:r w:rsidR="009714C8" w:rsidRPr="005D10C1">
        <w:rPr>
          <w:rFonts w:ascii="Candara" w:hAnsi="Candara"/>
          <w:i/>
        </w:rPr>
        <w:t>copyrights</w:t>
      </w:r>
      <w:r w:rsidR="009714C8" w:rsidRPr="005D10C1">
        <w:rPr>
          <w:rFonts w:ascii="Candara" w:hAnsi="Candara"/>
        </w:rPr>
        <w:t xml:space="preserve"> y otros mecanismos legales para proteger estos derechos o, tomar la forma de </w:t>
      </w:r>
      <w:r w:rsidR="009714C8" w:rsidRPr="005D10C1">
        <w:rPr>
          <w:rFonts w:ascii="Candara" w:hAnsi="Candara"/>
          <w:i/>
        </w:rPr>
        <w:t>Know</w:t>
      </w:r>
      <w:r w:rsidR="00303BE8" w:rsidRPr="005D10C1">
        <w:rPr>
          <w:rFonts w:ascii="Candara" w:hAnsi="Candara"/>
          <w:i/>
        </w:rPr>
        <w:t>-</w:t>
      </w:r>
      <w:r w:rsidR="009714C8" w:rsidRPr="005D10C1">
        <w:rPr>
          <w:rFonts w:ascii="Candara" w:hAnsi="Candara"/>
          <w:i/>
        </w:rPr>
        <w:t>how</w:t>
      </w:r>
      <w:r w:rsidR="009714C8" w:rsidRPr="005D10C1">
        <w:rPr>
          <w:rFonts w:ascii="Candara" w:hAnsi="Candara"/>
        </w:rPr>
        <w:t xml:space="preserve"> o secretos comerciales.  </w:t>
      </w:r>
    </w:p>
    <w:p w14:paraId="42896FE5" w14:textId="77777777" w:rsidR="005C6818" w:rsidRPr="005D10C1" w:rsidRDefault="005C6818" w:rsidP="009714C8">
      <w:pPr>
        <w:spacing w:line="360" w:lineRule="auto"/>
        <w:rPr>
          <w:rFonts w:ascii="Candara" w:hAnsi="Candara"/>
        </w:rPr>
      </w:pPr>
    </w:p>
    <w:p w14:paraId="2D9686B9" w14:textId="77777777" w:rsidR="00C815FD" w:rsidRPr="005D10C1" w:rsidRDefault="00736133">
      <w:pPr>
        <w:pStyle w:val="Ttulo3"/>
        <w:rPr>
          <w:rFonts w:ascii="Candara" w:hAnsi="Candara"/>
          <w:color w:val="auto"/>
        </w:rPr>
      </w:pPr>
      <w:bookmarkStart w:id="230" w:name="_Toc377653145"/>
      <w:r w:rsidRPr="005D10C1">
        <w:rPr>
          <w:rFonts w:ascii="Candara" w:hAnsi="Candara"/>
          <w:color w:val="auto"/>
        </w:rPr>
        <w:t>Naturaleza y desarrollo del sistema de innovación</w:t>
      </w:r>
      <w:bookmarkEnd w:id="230"/>
    </w:p>
    <w:p w14:paraId="02BB3B95" w14:textId="77777777" w:rsidR="008B150C" w:rsidRPr="005D10C1" w:rsidRDefault="008B150C" w:rsidP="008B150C">
      <w:pPr>
        <w:rPr>
          <w:rFonts w:ascii="Candara" w:hAnsi="Candara"/>
        </w:rPr>
      </w:pPr>
    </w:p>
    <w:p w14:paraId="63E96478" w14:textId="77777777" w:rsidR="002B4E45" w:rsidRPr="005D10C1" w:rsidRDefault="00DC7A0F" w:rsidP="002B4E45">
      <w:pPr>
        <w:spacing w:line="360" w:lineRule="auto"/>
        <w:rPr>
          <w:rFonts w:ascii="Candara" w:hAnsi="Candara"/>
        </w:rPr>
      </w:pPr>
      <w:r w:rsidRPr="005D10C1">
        <w:rPr>
          <w:rFonts w:ascii="Candara" w:hAnsi="Candara"/>
        </w:rPr>
        <w:t>Estados Unidos</w:t>
      </w:r>
      <w:r w:rsidR="00F615BA" w:rsidRPr="005D10C1">
        <w:rPr>
          <w:rFonts w:ascii="Candara" w:hAnsi="Candara"/>
        </w:rPr>
        <w:t xml:space="preserve"> ha sido reconocido como uno de las máquinas mundiales para el desarrollo tecnológico.  </w:t>
      </w:r>
      <w:r w:rsidR="00C652AD" w:rsidRPr="005D10C1">
        <w:rPr>
          <w:rFonts w:ascii="Candara" w:hAnsi="Candara"/>
        </w:rPr>
        <w:t xml:space="preserve">Este país tiene un sistema de innovación diverso y altamente descentralizado, el cual involucra a múltiples actores como ramas del gobierno federal y estatal, organismos públicos, universidades, el sector privado y las organizaciones sin ánimo de lucro y de intermediación </w:t>
      </w:r>
      <w:r w:rsidR="003B0D24" w:rsidRPr="005D10C1">
        <w:rPr>
          <w:rFonts w:ascii="Candara" w:hAnsi="Candara"/>
        </w:rPr>
        <w:fldChar w:fldCharType="begin" w:fldLock="1"/>
      </w:r>
      <w:r w:rsidR="00CA1A09" w:rsidRPr="005D10C1">
        <w:rPr>
          <w:rFonts w:ascii="Candara" w:hAnsi="Candara"/>
        </w:rPr>
        <w:instrText>ADDIN CSL_CITATION { "citationItems" : [ { "id" : "ITEM-1", "itemData" : { "ISBN" : "978-3-8396-0114-3", "author" : [ { "dropping-particle" : "", "family" : "Shapira", "given" : "Philip", "non-dropping-particle" : "", "parse-names" : false, "suffix" : "" }, { "dropping-particle" : "", "family" : "Youtie", "given" : "Jan", "non-dropping-particle" : "", "parse-names" : false, "suffix" : "" } ], "chapter-number" : "Chapter 2", "container-title" : "Competing for Global Innovation Leadership: Innovation Systems and Policies in the USA, EU and Asia", "editor" : [ { "dropping-particle" : "", "family" : "Rainer", "given" : "Margot", "non-dropping-particle" : "", "parse-names" : false, "suffix" : "" } ], "id" : "ITEM-1", "issue" : "January", "issued" : { "date-parts" : [ [ "2010" ] ] }, "page" : "5-29", "title" : "The Innovation System and Innovation Policy in the United States", "type" : "chapter" }, "uris" : [ "http://www.mendeley.com/documents/?uuid=0f87b5f0-92d8-4ee2-8c8d-ceab0e8411fc" ] } ], "mendeley" : { "previouslyFormattedCitation" : "(Shapira &amp; Youtie, 2010)" }, "properties" : { "noteIndex" : 0 }, "schema" : "https://github.com/citation-style-language/schema/raw/master/csl-citation.json" }</w:instrText>
      </w:r>
      <w:r w:rsidR="003B0D24" w:rsidRPr="005D10C1">
        <w:rPr>
          <w:rFonts w:ascii="Candara" w:hAnsi="Candara"/>
        </w:rPr>
        <w:fldChar w:fldCharType="separate"/>
      </w:r>
      <w:r w:rsidR="00C652AD" w:rsidRPr="005D10C1">
        <w:rPr>
          <w:rFonts w:ascii="Candara" w:hAnsi="Candara"/>
          <w:noProof/>
        </w:rPr>
        <w:t>(Shapira &amp; Youtie, 2010)</w:t>
      </w:r>
      <w:r w:rsidR="003B0D24" w:rsidRPr="005D10C1">
        <w:rPr>
          <w:rFonts w:ascii="Candara" w:hAnsi="Candara"/>
        </w:rPr>
        <w:fldChar w:fldCharType="end"/>
      </w:r>
      <w:r w:rsidR="001D3043" w:rsidRPr="005D10C1">
        <w:rPr>
          <w:rFonts w:ascii="Candara" w:hAnsi="Candara"/>
        </w:rPr>
        <w:t>.</w:t>
      </w:r>
    </w:p>
    <w:p w14:paraId="0BC04948" w14:textId="77777777" w:rsidR="001D3043" w:rsidRPr="005D10C1" w:rsidRDefault="001D3043" w:rsidP="002B4E45">
      <w:pPr>
        <w:spacing w:line="360" w:lineRule="auto"/>
        <w:rPr>
          <w:rFonts w:ascii="Candara" w:hAnsi="Candara"/>
        </w:rPr>
      </w:pPr>
    </w:p>
    <w:p w14:paraId="6AC81909" w14:textId="77777777" w:rsidR="001D3043" w:rsidRPr="005D10C1" w:rsidRDefault="00B92F1D" w:rsidP="002B4E45">
      <w:pPr>
        <w:spacing w:line="360" w:lineRule="auto"/>
        <w:rPr>
          <w:rFonts w:ascii="Candara" w:hAnsi="Candara"/>
        </w:rPr>
      </w:pPr>
      <w:r w:rsidRPr="005D10C1">
        <w:rPr>
          <w:rFonts w:ascii="Candara" w:hAnsi="Candara"/>
        </w:rPr>
        <w:t>Simo</w:t>
      </w:r>
      <w:r w:rsidR="00531838" w:rsidRPr="005D10C1">
        <w:rPr>
          <w:rFonts w:ascii="Candara" w:hAnsi="Candara"/>
        </w:rPr>
        <w:t>n</w:t>
      </w:r>
      <w:r w:rsidRPr="005D10C1">
        <w:rPr>
          <w:rFonts w:ascii="Candara" w:hAnsi="Candara"/>
        </w:rPr>
        <w:t>s &amp; Walls, (2010), en su descripción del Sistema de Innovación estadounidense, señalan que, d</w:t>
      </w:r>
      <w:r w:rsidR="001D3043" w:rsidRPr="005D10C1">
        <w:rPr>
          <w:rFonts w:ascii="Candara" w:hAnsi="Candara"/>
        </w:rPr>
        <w:t xml:space="preserve">entro de las </w:t>
      </w:r>
      <w:r w:rsidR="001D3043" w:rsidRPr="005D10C1">
        <w:rPr>
          <w:rFonts w:ascii="Candara" w:hAnsi="Candara"/>
          <w:b/>
          <w:i/>
        </w:rPr>
        <w:t>condiciones para la</w:t>
      </w:r>
      <w:r w:rsidR="00190887" w:rsidRPr="005D10C1">
        <w:rPr>
          <w:rFonts w:ascii="Candara" w:hAnsi="Candara"/>
          <w:b/>
          <w:i/>
        </w:rPr>
        <w:t xml:space="preserve"> generación de la</w:t>
      </w:r>
      <w:r w:rsidR="001D3043" w:rsidRPr="005D10C1">
        <w:rPr>
          <w:rFonts w:ascii="Candara" w:hAnsi="Candara"/>
          <w:b/>
          <w:i/>
        </w:rPr>
        <w:t xml:space="preserve"> innovación</w:t>
      </w:r>
      <w:r w:rsidR="00FD2185" w:rsidRPr="005D10C1">
        <w:rPr>
          <w:rFonts w:ascii="Candara" w:hAnsi="Candara"/>
          <w:b/>
          <w:i/>
        </w:rPr>
        <w:t xml:space="preserve"> </w:t>
      </w:r>
      <w:r w:rsidR="00BD3213" w:rsidRPr="005D10C1">
        <w:rPr>
          <w:rFonts w:ascii="Candara" w:hAnsi="Candara"/>
        </w:rPr>
        <w:t xml:space="preserve">existen </w:t>
      </w:r>
      <w:r w:rsidR="001D3043" w:rsidRPr="005D10C1">
        <w:rPr>
          <w:rFonts w:ascii="Candara" w:hAnsi="Candara"/>
        </w:rPr>
        <w:t xml:space="preserve">4 </w:t>
      </w:r>
      <w:r w:rsidR="00D84478" w:rsidRPr="005D10C1">
        <w:rPr>
          <w:rFonts w:ascii="Candara" w:hAnsi="Candara"/>
        </w:rPr>
        <w:t>pilares</w:t>
      </w:r>
      <w:r w:rsidR="001D3043" w:rsidRPr="005D10C1">
        <w:rPr>
          <w:rFonts w:ascii="Candara" w:hAnsi="Candara"/>
        </w:rPr>
        <w:t xml:space="preserve"> que </w:t>
      </w:r>
      <w:r w:rsidR="00BD3213" w:rsidRPr="005D10C1">
        <w:rPr>
          <w:rFonts w:ascii="Candara" w:hAnsi="Candara"/>
        </w:rPr>
        <w:t>sustentan</w:t>
      </w:r>
      <w:r w:rsidR="001D3043" w:rsidRPr="005D10C1">
        <w:rPr>
          <w:rFonts w:ascii="Candara" w:hAnsi="Candara"/>
        </w:rPr>
        <w:t xml:space="preserve"> el </w:t>
      </w:r>
      <w:r w:rsidR="00BD3213" w:rsidRPr="005D10C1">
        <w:rPr>
          <w:rFonts w:ascii="Candara" w:hAnsi="Candara"/>
        </w:rPr>
        <w:t xml:space="preserve">éxito del </w:t>
      </w:r>
      <w:r w:rsidR="001D3043" w:rsidRPr="005D10C1">
        <w:rPr>
          <w:rFonts w:ascii="Candara" w:hAnsi="Candara"/>
        </w:rPr>
        <w:t>sistema de innovación estadounidense</w:t>
      </w:r>
      <w:r w:rsidR="00BD3213" w:rsidRPr="005D10C1">
        <w:rPr>
          <w:rFonts w:ascii="Candara" w:hAnsi="Candara"/>
        </w:rPr>
        <w:t>, a saber</w:t>
      </w:r>
      <w:r w:rsidR="001D3043" w:rsidRPr="005D10C1">
        <w:rPr>
          <w:rFonts w:ascii="Candara" w:hAnsi="Candara"/>
        </w:rPr>
        <w:t>: incentivos, apoyo gubernamental, mezcla emprendedora y de gran industria, y las instituciones sociales.</w:t>
      </w:r>
    </w:p>
    <w:p w14:paraId="19754BDC" w14:textId="77777777" w:rsidR="00B92F1D" w:rsidRPr="005D10C1" w:rsidRDefault="00B92F1D" w:rsidP="002B4E45">
      <w:pPr>
        <w:spacing w:line="360" w:lineRule="auto"/>
        <w:rPr>
          <w:rFonts w:ascii="Candara" w:hAnsi="Candara"/>
        </w:rPr>
      </w:pPr>
    </w:p>
    <w:p w14:paraId="43EBE574" w14:textId="77777777" w:rsidR="00B92F1D" w:rsidRPr="005D10C1" w:rsidRDefault="00B92F1D" w:rsidP="002B4E45">
      <w:pPr>
        <w:spacing w:line="360" w:lineRule="auto"/>
        <w:rPr>
          <w:rFonts w:ascii="Candara" w:hAnsi="Candara"/>
          <w:i/>
          <w:u w:val="single"/>
        </w:rPr>
      </w:pPr>
      <w:r w:rsidRPr="005D10C1">
        <w:rPr>
          <w:rFonts w:ascii="Candara" w:hAnsi="Candara"/>
          <w:i/>
          <w:u w:val="single"/>
        </w:rPr>
        <w:t>Los incentivos:</w:t>
      </w:r>
    </w:p>
    <w:p w14:paraId="4BCE6543" w14:textId="77777777" w:rsidR="00F44260" w:rsidRPr="005D10C1" w:rsidRDefault="00190887" w:rsidP="00190887">
      <w:pPr>
        <w:spacing w:line="360" w:lineRule="auto"/>
        <w:rPr>
          <w:rFonts w:ascii="Candara" w:hAnsi="Candara"/>
        </w:rPr>
      </w:pPr>
      <w:r w:rsidRPr="005D10C1">
        <w:rPr>
          <w:rFonts w:ascii="Candara" w:hAnsi="Candara"/>
        </w:rPr>
        <w:t xml:space="preserve">Los incentivos establecidos para emprendedores y empresas existentes son básicamente: </w:t>
      </w:r>
      <w:r w:rsidR="00963E1F" w:rsidRPr="005D10C1">
        <w:rPr>
          <w:rFonts w:ascii="Candara" w:hAnsi="Candara"/>
        </w:rPr>
        <w:t xml:space="preserve">los derechos de propiedad intelectual, </w:t>
      </w:r>
      <w:r w:rsidRPr="005D10C1">
        <w:rPr>
          <w:rFonts w:ascii="Candara" w:hAnsi="Candara"/>
        </w:rPr>
        <w:t xml:space="preserve">y la existencia de </w:t>
      </w:r>
      <w:r w:rsidR="00963E1F" w:rsidRPr="005D10C1">
        <w:rPr>
          <w:rFonts w:ascii="Candara" w:hAnsi="Candara"/>
        </w:rPr>
        <w:t xml:space="preserve">otras </w:t>
      </w:r>
      <w:r w:rsidRPr="005D10C1">
        <w:rPr>
          <w:rFonts w:ascii="Candara" w:hAnsi="Candara"/>
        </w:rPr>
        <w:t xml:space="preserve">alternativas para obtener ingresos sobre sus invenciones. </w:t>
      </w:r>
    </w:p>
    <w:p w14:paraId="480F982D" w14:textId="77777777" w:rsidR="00190887" w:rsidRPr="005D10C1" w:rsidRDefault="00190887" w:rsidP="00190887">
      <w:pPr>
        <w:spacing w:line="360" w:lineRule="auto"/>
        <w:rPr>
          <w:rFonts w:ascii="Candara" w:hAnsi="Candara"/>
        </w:rPr>
      </w:pPr>
    </w:p>
    <w:p w14:paraId="194DD236" w14:textId="77777777" w:rsidR="00C212EC" w:rsidRPr="005D10C1" w:rsidRDefault="00F44260" w:rsidP="005A40E2">
      <w:pPr>
        <w:spacing w:line="360" w:lineRule="auto"/>
        <w:rPr>
          <w:rFonts w:ascii="Candara" w:hAnsi="Candara"/>
        </w:rPr>
      </w:pPr>
      <w:commentRangeStart w:id="231"/>
      <w:r w:rsidRPr="005D10C1">
        <w:rPr>
          <w:rFonts w:ascii="Candara" w:hAnsi="Candara"/>
        </w:rPr>
        <w:t>Los derechos de propiedad intelectual se encuentran consagrados en la constitución</w:t>
      </w:r>
      <w:r w:rsidR="00190887" w:rsidRPr="005D10C1">
        <w:rPr>
          <w:rFonts w:ascii="Candara" w:hAnsi="Candara"/>
        </w:rPr>
        <w:t xml:space="preserve"> de 1787</w:t>
      </w:r>
      <w:commentRangeEnd w:id="231"/>
      <w:r w:rsidR="00B8369A">
        <w:rPr>
          <w:rStyle w:val="Refdecomentario"/>
          <w:rFonts w:cstheme="minorBidi"/>
        </w:rPr>
        <w:commentReference w:id="231"/>
      </w:r>
      <w:r w:rsidR="00190887" w:rsidRPr="005D10C1">
        <w:rPr>
          <w:rFonts w:ascii="Candara" w:hAnsi="Candara"/>
        </w:rPr>
        <w:t xml:space="preserve">.  </w:t>
      </w:r>
      <w:r w:rsidR="00E668BE" w:rsidRPr="005D10C1">
        <w:rPr>
          <w:rFonts w:ascii="Candara" w:hAnsi="Candara"/>
        </w:rPr>
        <w:t xml:space="preserve">La ley actual de patentes </w:t>
      </w:r>
      <w:r w:rsidR="00190887" w:rsidRPr="005D10C1">
        <w:rPr>
          <w:rFonts w:ascii="Candara" w:hAnsi="Candara"/>
        </w:rPr>
        <w:t xml:space="preserve">otorga el derecho de </w:t>
      </w:r>
      <w:r w:rsidR="00E668BE" w:rsidRPr="005D10C1">
        <w:rPr>
          <w:rFonts w:ascii="Candara" w:hAnsi="Candara"/>
        </w:rPr>
        <w:t xml:space="preserve">patentes por un período de 20 años </w:t>
      </w:r>
      <w:r w:rsidR="00E668BE" w:rsidRPr="005D10C1">
        <w:rPr>
          <w:rFonts w:ascii="Candara" w:hAnsi="Candara"/>
        </w:rPr>
        <w:lastRenderedPageBreak/>
        <w:t>desde la fecha de presentación.</w:t>
      </w:r>
      <w:r w:rsidR="00B725F0" w:rsidRPr="005D10C1">
        <w:rPr>
          <w:rFonts w:ascii="Candara" w:hAnsi="Candara"/>
        </w:rPr>
        <w:t xml:space="preserve"> De igual manera </w:t>
      </w:r>
      <w:r w:rsidR="00C212EC" w:rsidRPr="005D10C1">
        <w:rPr>
          <w:rFonts w:ascii="Candara" w:hAnsi="Candara"/>
        </w:rPr>
        <w:t xml:space="preserve">otorga derechos de protección de copyright por el periodo de vida del autor más 70 años, entre otras consideraciones.  En definitiva, el </w:t>
      </w:r>
      <w:r w:rsidR="00993181" w:rsidRPr="005D10C1">
        <w:rPr>
          <w:rFonts w:ascii="Candara" w:hAnsi="Candara"/>
        </w:rPr>
        <w:t>éxito de la innovación en EEUU es soportado y ayudado por el sistema de patentes que permite a los inventores obtener la protección.</w:t>
      </w:r>
      <w:r w:rsidR="002002D2" w:rsidRPr="005D10C1">
        <w:rPr>
          <w:rFonts w:ascii="Candara" w:hAnsi="Candara"/>
        </w:rPr>
        <w:t xml:space="preserve"> Además de estos mecanismos, en el sector privado las empresas usan otras alternativas para proteger los posibles beneficios sobre sus desarrollos tecnológicos como lo son: </w:t>
      </w:r>
      <w:r w:rsidR="00C212EC" w:rsidRPr="005D10C1">
        <w:rPr>
          <w:rFonts w:ascii="Candara" w:hAnsi="Candara"/>
        </w:rPr>
        <w:t>el manejo del "lead time" en innovación, la disminución de los costos de producción de manera</w:t>
      </w:r>
      <w:r w:rsidR="007A77DC" w:rsidRPr="005D10C1">
        <w:rPr>
          <w:rFonts w:ascii="Candara" w:hAnsi="Candara"/>
        </w:rPr>
        <w:t xml:space="preserve"> constante y</w:t>
      </w:r>
      <w:r w:rsidR="00C212EC" w:rsidRPr="005D10C1">
        <w:rPr>
          <w:rFonts w:ascii="Candara" w:hAnsi="Candara"/>
        </w:rPr>
        <w:t xml:space="preserve"> el secreto industrial.  </w:t>
      </w:r>
    </w:p>
    <w:p w14:paraId="59862F9E" w14:textId="77777777" w:rsidR="00C212EC" w:rsidRPr="005D10C1" w:rsidRDefault="00C212EC" w:rsidP="002B4E45">
      <w:pPr>
        <w:spacing w:line="360" w:lineRule="auto"/>
        <w:rPr>
          <w:rFonts w:ascii="Candara" w:hAnsi="Candara"/>
        </w:rPr>
      </w:pPr>
    </w:p>
    <w:p w14:paraId="0BDD9D9D" w14:textId="77777777" w:rsidR="00FE2D02" w:rsidRPr="005D10C1" w:rsidRDefault="00A839AE" w:rsidP="002B4E45">
      <w:pPr>
        <w:spacing w:line="360" w:lineRule="auto"/>
        <w:rPr>
          <w:rFonts w:ascii="Candara" w:hAnsi="Candara"/>
        </w:rPr>
      </w:pPr>
      <w:r w:rsidRPr="005D10C1">
        <w:rPr>
          <w:rFonts w:ascii="Candara" w:hAnsi="Candara"/>
        </w:rPr>
        <w:t>El crédito fiscal de Investigación y Experimentación es la principal herramienta para estimular la I+D en el sector privado. El crédito fiscal federal de I+D se ha modificado muchas veces, pero la estructura básica prevé cuatro tipos de créditos: el crédito regular a la investigación, el crédito de alternativas incrementales de la investigación</w:t>
      </w:r>
      <w:r w:rsidR="000E3077" w:rsidRPr="005D10C1">
        <w:rPr>
          <w:rFonts w:ascii="Candara" w:hAnsi="Candara"/>
        </w:rPr>
        <w:t xml:space="preserve"> y</w:t>
      </w:r>
      <w:r w:rsidRPr="005D10C1">
        <w:rPr>
          <w:rFonts w:ascii="Candara" w:hAnsi="Candara"/>
        </w:rPr>
        <w:t xml:space="preserve"> el crédito para la investigación básica </w:t>
      </w:r>
      <w:r w:rsidR="003B0D24" w:rsidRPr="005D10C1">
        <w:rPr>
          <w:rFonts w:ascii="Candara" w:hAnsi="Candara"/>
        </w:rPr>
        <w:fldChar w:fldCharType="begin" w:fldLock="1"/>
      </w:r>
      <w:r w:rsidR="00CA1A09" w:rsidRPr="005D10C1">
        <w:rPr>
          <w:rFonts w:ascii="Candara" w:hAnsi="Candara"/>
        </w:rPr>
        <w:instrText>ADDIN CSL_CITATION { "citationItems" : [ { "id" : "ITEM-1", "itemData" : { "ISBN" : "978-3-8396-0114-3", "author" : [ { "dropping-particle" : "", "family" : "Shapira", "given" : "Philip", "non-dropping-particle" : "", "parse-names" : false, "suffix" : "" }, { "dropping-particle" : "", "family" : "Youtie", "given" : "Jan", "non-dropping-particle" : "", "parse-names" : false, "suffix" : "" } ], "chapter-number" : "Chapter 2", "container-title" : "Competing for Global Innovation Leadership: Innovation Systems and Policies in the USA, EU and Asia", "editor" : [ { "dropping-particle" : "", "family" : "Rainer", "given" : "Margot", "non-dropping-particle" : "", "parse-names" : false, "suffix" : "" } ], "id" : "ITEM-1", "issue" : "January", "issued" : { "date-parts" : [ [ "2010" ] ] }, "page" : "5-29", "title" : "The Innovation System and Innovation Policy in the United States", "type" : "chapter" }, "uris" : [ "http://www.mendeley.com/documents/?uuid=0f87b5f0-92d8-4ee2-8c8d-ceab0e8411fc" ] } ], "mendeley" : { "previouslyFormattedCitation" : "(Shapira &amp; Youtie, 2010)" }, "properties" : { "noteIndex" : 0 }, "schema" : "https://github.com/citation-style-language/schema/raw/master/csl-citation.json" }</w:instrText>
      </w:r>
      <w:r w:rsidR="003B0D24" w:rsidRPr="005D10C1">
        <w:rPr>
          <w:rFonts w:ascii="Candara" w:hAnsi="Candara"/>
        </w:rPr>
        <w:fldChar w:fldCharType="separate"/>
      </w:r>
      <w:r w:rsidRPr="005D10C1">
        <w:rPr>
          <w:rFonts w:ascii="Candara" w:hAnsi="Candara"/>
          <w:noProof/>
        </w:rPr>
        <w:t>(Shapira &amp; Youtie, 2010)</w:t>
      </w:r>
      <w:r w:rsidR="003B0D24" w:rsidRPr="005D10C1">
        <w:rPr>
          <w:rFonts w:ascii="Candara" w:hAnsi="Candara"/>
        </w:rPr>
        <w:fldChar w:fldCharType="end"/>
      </w:r>
      <w:r w:rsidRPr="005D10C1">
        <w:rPr>
          <w:rFonts w:ascii="Candara" w:hAnsi="Candara"/>
        </w:rPr>
        <w:t xml:space="preserve">. </w:t>
      </w:r>
    </w:p>
    <w:p w14:paraId="4FF44203" w14:textId="77777777" w:rsidR="00D651F5" w:rsidRPr="005D10C1" w:rsidRDefault="00D651F5" w:rsidP="002B4E45">
      <w:pPr>
        <w:spacing w:line="360" w:lineRule="auto"/>
        <w:rPr>
          <w:rFonts w:ascii="Candara" w:hAnsi="Candara"/>
        </w:rPr>
      </w:pPr>
    </w:p>
    <w:p w14:paraId="68954CD9" w14:textId="77777777" w:rsidR="00B92F1D" w:rsidRPr="005D10C1" w:rsidRDefault="007245C8" w:rsidP="00B92F1D">
      <w:pPr>
        <w:spacing w:line="360" w:lineRule="auto"/>
        <w:rPr>
          <w:rFonts w:ascii="Candara" w:hAnsi="Candara"/>
        </w:rPr>
      </w:pPr>
      <w:r w:rsidRPr="005D10C1">
        <w:rPr>
          <w:rFonts w:ascii="Candara" w:hAnsi="Candara"/>
        </w:rPr>
        <w:t>O</w:t>
      </w:r>
      <w:r w:rsidR="00B92F1D" w:rsidRPr="005D10C1">
        <w:rPr>
          <w:rFonts w:ascii="Candara" w:hAnsi="Candara"/>
        </w:rPr>
        <w:t>tra fortaleza del sistema</w:t>
      </w:r>
      <w:r w:rsidR="001A4391" w:rsidRPr="005D10C1">
        <w:rPr>
          <w:rFonts w:ascii="Candara" w:hAnsi="Candara"/>
        </w:rPr>
        <w:t xml:space="preserve"> de innovación</w:t>
      </w:r>
      <w:r w:rsidR="00B92F1D" w:rsidRPr="005D10C1">
        <w:rPr>
          <w:rFonts w:ascii="Candara" w:hAnsi="Candara"/>
        </w:rPr>
        <w:t xml:space="preserve"> es que la asignación de estas ayudas generalmente se asignan mediante un sistema de méritos abierto a todas las áreas </w:t>
      </w:r>
      <w:r w:rsidR="001A4391" w:rsidRPr="005D10C1">
        <w:rPr>
          <w:rFonts w:ascii="Candara" w:hAnsi="Candara"/>
        </w:rPr>
        <w:t xml:space="preserve">promisorias </w:t>
      </w:r>
      <w:r w:rsidR="00B92F1D" w:rsidRPr="005D10C1">
        <w:rPr>
          <w:rFonts w:ascii="Candara" w:hAnsi="Candara"/>
        </w:rPr>
        <w:t>de la tecnología</w:t>
      </w:r>
      <w:r w:rsidR="001A4391" w:rsidRPr="005D10C1">
        <w:rPr>
          <w:rFonts w:ascii="Candara" w:hAnsi="Candara"/>
        </w:rPr>
        <w:t xml:space="preserve">, tal es el caso de las ayudas otorgadas por </w:t>
      </w:r>
      <w:r w:rsidR="00B92F1D" w:rsidRPr="005D10C1">
        <w:rPr>
          <w:rFonts w:ascii="Candara" w:hAnsi="Candara"/>
        </w:rPr>
        <w:t>la National Science Foundation and the National Institutes of Health.  No obstante, en otro tipo de entidades como el Departamento de Defensa la financiación se otorga mediante procesos de decisión más complejos.</w:t>
      </w:r>
    </w:p>
    <w:p w14:paraId="42B1FFEB" w14:textId="77777777" w:rsidR="00A839AE" w:rsidRPr="005D10C1" w:rsidRDefault="00A839AE" w:rsidP="00B92F1D">
      <w:pPr>
        <w:spacing w:line="360" w:lineRule="auto"/>
        <w:rPr>
          <w:rFonts w:ascii="Candara" w:hAnsi="Candara"/>
        </w:rPr>
      </w:pPr>
    </w:p>
    <w:p w14:paraId="41B3A11B" w14:textId="77777777" w:rsidR="00E64ADE" w:rsidRPr="005D10C1" w:rsidRDefault="004727A1" w:rsidP="002B4E45">
      <w:pPr>
        <w:spacing w:line="360" w:lineRule="auto"/>
        <w:rPr>
          <w:rFonts w:ascii="Candara" w:hAnsi="Candara"/>
        </w:rPr>
      </w:pPr>
      <w:r w:rsidRPr="005D10C1">
        <w:rPr>
          <w:rFonts w:ascii="Candara" w:hAnsi="Candara"/>
          <w:u w:val="single"/>
        </w:rPr>
        <w:t>La mezcla de emprendimientos y grandes firmas capitalistas</w:t>
      </w:r>
      <w:r w:rsidRPr="005D10C1">
        <w:rPr>
          <w:rFonts w:ascii="Candara" w:hAnsi="Candara"/>
        </w:rPr>
        <w:t>:</w:t>
      </w:r>
    </w:p>
    <w:p w14:paraId="23384E45" w14:textId="77777777" w:rsidR="008D2E9C" w:rsidRPr="005D10C1" w:rsidRDefault="00A36555" w:rsidP="002B4E45">
      <w:pPr>
        <w:spacing w:line="360" w:lineRule="auto"/>
        <w:rPr>
          <w:rFonts w:ascii="Candara" w:hAnsi="Candara"/>
        </w:rPr>
      </w:pPr>
      <w:r w:rsidRPr="005D10C1">
        <w:rPr>
          <w:rFonts w:ascii="Candara" w:hAnsi="Candara"/>
        </w:rPr>
        <w:t xml:space="preserve">El tercer pilar </w:t>
      </w:r>
      <w:r w:rsidR="00E64ADE" w:rsidRPr="005D10C1">
        <w:rPr>
          <w:rFonts w:ascii="Candara" w:hAnsi="Candara"/>
        </w:rPr>
        <w:t>está conformado por la existencia de nuevas empresas (generalmente pequeñas) y</w:t>
      </w:r>
      <w:r w:rsidRPr="005D10C1">
        <w:rPr>
          <w:rFonts w:ascii="Candara" w:hAnsi="Candara"/>
        </w:rPr>
        <w:t xml:space="preserve"> grandes firmas capitalistas. </w:t>
      </w:r>
      <w:r w:rsidR="008D2E9C" w:rsidRPr="005D10C1">
        <w:rPr>
          <w:rFonts w:ascii="Candara" w:hAnsi="Candara"/>
        </w:rPr>
        <w:t xml:space="preserve">Las </w:t>
      </w:r>
      <w:r w:rsidR="00E64ADE" w:rsidRPr="005D10C1">
        <w:rPr>
          <w:rFonts w:ascii="Candara" w:hAnsi="Candara"/>
        </w:rPr>
        <w:t xml:space="preserve">nuevas </w:t>
      </w:r>
      <w:r w:rsidR="008D2E9C" w:rsidRPr="005D10C1">
        <w:rPr>
          <w:rFonts w:ascii="Candara" w:hAnsi="Candara"/>
        </w:rPr>
        <w:t>empresas pequeñas o inventores independientes suelen desarrollar nuevas tecnologías que aparentemente surgirían de una forma más difícil</w:t>
      </w:r>
      <w:r w:rsidR="00E64ADE" w:rsidRPr="005D10C1">
        <w:rPr>
          <w:rFonts w:ascii="Candara" w:hAnsi="Candara"/>
        </w:rPr>
        <w:t xml:space="preserve"> en </w:t>
      </w:r>
      <w:r w:rsidR="008D2E9C" w:rsidRPr="005D10C1">
        <w:rPr>
          <w:rFonts w:ascii="Candara" w:hAnsi="Candara"/>
        </w:rPr>
        <w:t>las grandes empresas</w:t>
      </w:r>
      <w:r w:rsidR="00E64ADE" w:rsidRPr="005D10C1">
        <w:rPr>
          <w:rFonts w:ascii="Candara" w:hAnsi="Candara"/>
        </w:rPr>
        <w:t xml:space="preserve">, pero carecen del capital para su </w:t>
      </w:r>
      <w:r w:rsidR="00E64ADE" w:rsidRPr="005D10C1">
        <w:rPr>
          <w:rFonts w:ascii="Candara" w:hAnsi="Candara"/>
        </w:rPr>
        <w:lastRenderedPageBreak/>
        <w:t>escalamiento, producción y comercialización a gran escala</w:t>
      </w:r>
      <w:r w:rsidR="008D2E9C" w:rsidRPr="005D10C1">
        <w:rPr>
          <w:rFonts w:ascii="Candara" w:hAnsi="Candara"/>
        </w:rPr>
        <w:t>. A su vez, las grandes empresas en ocasiones han desarrollado y comercializado tecnologías importantes y, además, han llevado a cabo la amplia gama de productos y mejoras en los procesos de las nuevas tecnologías refinadas al punto en el que se vuelven ampliamente utilizad</w:t>
      </w:r>
      <w:r w:rsidR="00E64ADE" w:rsidRPr="005D10C1">
        <w:rPr>
          <w:rFonts w:ascii="Candara" w:hAnsi="Candara"/>
        </w:rPr>
        <w:t>as</w:t>
      </w:r>
      <w:r w:rsidR="008D2E9C" w:rsidRPr="005D10C1">
        <w:rPr>
          <w:rFonts w:ascii="Candara" w:hAnsi="Candara"/>
        </w:rPr>
        <w:t xml:space="preserve">. </w:t>
      </w:r>
      <w:r w:rsidR="00E64ADE" w:rsidRPr="005D10C1">
        <w:rPr>
          <w:rFonts w:ascii="Candara" w:hAnsi="Candara"/>
        </w:rPr>
        <w:t xml:space="preserve">Estas relaciones entre emprendedores o nuevas empresas y empresas establecidas </w:t>
      </w:r>
      <w:r w:rsidR="000F00BB" w:rsidRPr="005D10C1">
        <w:rPr>
          <w:rFonts w:ascii="Candara" w:hAnsi="Candara"/>
        </w:rPr>
        <w:t xml:space="preserve">permite aumentar la capacidad en el sistema de innovación. </w:t>
      </w:r>
    </w:p>
    <w:p w14:paraId="421F6F27" w14:textId="77777777" w:rsidR="008D2E9C" w:rsidRPr="005D10C1" w:rsidRDefault="008D2E9C" w:rsidP="002B4E45">
      <w:pPr>
        <w:spacing w:line="360" w:lineRule="auto"/>
        <w:rPr>
          <w:rFonts w:ascii="Candara" w:hAnsi="Candara"/>
        </w:rPr>
      </w:pPr>
    </w:p>
    <w:p w14:paraId="4AF80CF3" w14:textId="77777777" w:rsidR="00531838" w:rsidRPr="005D10C1" w:rsidRDefault="008763C1" w:rsidP="002B4E45">
      <w:pPr>
        <w:spacing w:line="360" w:lineRule="auto"/>
        <w:rPr>
          <w:rFonts w:ascii="Candara" w:hAnsi="Candara"/>
        </w:rPr>
      </w:pPr>
      <w:r w:rsidRPr="005D10C1">
        <w:rPr>
          <w:rFonts w:ascii="Candara" w:hAnsi="Candara"/>
          <w:u w:val="single"/>
        </w:rPr>
        <w:t>Instituciones sociales</w:t>
      </w:r>
      <w:r w:rsidRPr="005D10C1">
        <w:rPr>
          <w:rFonts w:ascii="Candara" w:hAnsi="Candara"/>
        </w:rPr>
        <w:t xml:space="preserve">: </w:t>
      </w:r>
    </w:p>
    <w:p w14:paraId="2915A1B1" w14:textId="77777777" w:rsidR="00D84478" w:rsidRPr="005D10C1" w:rsidRDefault="00531838" w:rsidP="002B4E45">
      <w:pPr>
        <w:spacing w:line="360" w:lineRule="auto"/>
        <w:rPr>
          <w:rFonts w:ascii="Candara" w:hAnsi="Candara"/>
        </w:rPr>
      </w:pPr>
      <w:r w:rsidRPr="005D10C1">
        <w:rPr>
          <w:rFonts w:ascii="Candara" w:hAnsi="Candara"/>
        </w:rPr>
        <w:t xml:space="preserve">La existencia de instituciones sociales sólidas favorece el éxito de los sistemas de innovación.  </w:t>
      </w:r>
      <w:r w:rsidR="007245C8" w:rsidRPr="005D10C1">
        <w:rPr>
          <w:rFonts w:ascii="Candara" w:hAnsi="Candara"/>
        </w:rPr>
        <w:t xml:space="preserve">Estas instituciones comprenden los sistemas jurídicos, sociales y de infraestructura que facilitan la creación de empresas y su operación; éstas conservan las regulaciones estables, proporcionan oportunidades educativas apropiadas, </w:t>
      </w:r>
      <w:r w:rsidR="009F1988" w:rsidRPr="005D10C1">
        <w:rPr>
          <w:rFonts w:ascii="Candara" w:hAnsi="Candara"/>
        </w:rPr>
        <w:t>y mantienen una cultura en la que la I+D y la innovación son apreciadas y respetadas</w:t>
      </w:r>
      <w:r w:rsidR="00D651F5" w:rsidRPr="005D10C1">
        <w:rPr>
          <w:rFonts w:ascii="Candara" w:hAnsi="Candara"/>
        </w:rPr>
        <w:t xml:space="preserve"> </w:t>
      </w:r>
      <w:r w:rsidR="003B0D24" w:rsidRPr="005D10C1">
        <w:rPr>
          <w:rFonts w:ascii="Candara" w:hAnsi="Candara"/>
        </w:rPr>
        <w:fldChar w:fldCharType="begin" w:fldLock="1"/>
      </w:r>
      <w:r w:rsidR="00CA1A09" w:rsidRPr="005D10C1">
        <w:rPr>
          <w:rFonts w:ascii="Candara" w:hAnsi="Candara"/>
        </w:rPr>
        <w:instrText>ADDIN CSL_CITATION { "citationItems" : [ { "id" : "ITEM-1", "itemData" : { "ISBN" : "978-1-4051-6049-0", "author" : [ { "dropping-particle" : "", "family" : "Simons", "given" : "Kenneth", "non-dropping-particle" : "", "parse-names" : false, "suffix" : "" }, { "dropping-particle" : "", "family" : "Walls", "given" : "Judith", "non-dropping-particle" : "", "parse-names" : false, "suffix" : "" } ], "chapter-number" : "Part Six N", "container-title" : "Encyclopedia of Technology and Innovation Management", "editor" : [ { "dropping-particle" : "", "family" : "Narayanan", "given" : "V.K", "non-dropping-particle" : "", "parse-names" : false, "suffix" : "" }, { "dropping-particle" : "", "family" : "O'Connor", "given" : "GC", "non-dropping-particle" : "", "parse-names" : false, "suffix" : "" } ], "id" : "ITEM-1", "issued" : { "date-parts" : [ [ "2010" ] ] }, "page" : "445-467", "publisher" : "Wiley-Blackwell", "title" : "The U . S . National Innovation System", "type" : "chapter" }, "uris" : [ "http://www.mendeley.com/documents/?uuid=8d273816-9c0a-49dc-8124-cab19775f925" ] } ], "mendeley" : { "previouslyFormattedCitation" : "(Simons &amp; Walls, 2010)" }, "properties" : { "noteIndex" : 0 }, "schema" : "https://github.com/citation-style-language/schema/raw/master/csl-citation.json" }</w:instrText>
      </w:r>
      <w:r w:rsidR="003B0D24" w:rsidRPr="005D10C1">
        <w:rPr>
          <w:rFonts w:ascii="Candara" w:hAnsi="Candara"/>
        </w:rPr>
        <w:fldChar w:fldCharType="separate"/>
      </w:r>
      <w:r w:rsidR="00DF53D6" w:rsidRPr="005D10C1">
        <w:rPr>
          <w:rFonts w:ascii="Candara" w:hAnsi="Candara"/>
          <w:noProof/>
        </w:rPr>
        <w:t>(Simons &amp; Walls, 2010)</w:t>
      </w:r>
      <w:r w:rsidR="003B0D24" w:rsidRPr="005D10C1">
        <w:rPr>
          <w:rFonts w:ascii="Candara" w:hAnsi="Candara"/>
        </w:rPr>
        <w:fldChar w:fldCharType="end"/>
      </w:r>
      <w:r w:rsidR="00A36555" w:rsidRPr="005D10C1">
        <w:rPr>
          <w:rFonts w:ascii="Candara" w:hAnsi="Candara"/>
        </w:rPr>
        <w:t>.</w:t>
      </w:r>
    </w:p>
    <w:p w14:paraId="3DE8CDDB" w14:textId="77777777" w:rsidR="002A7CD0" w:rsidRPr="005D10C1" w:rsidRDefault="002A7CD0" w:rsidP="002B4E45">
      <w:pPr>
        <w:spacing w:line="360" w:lineRule="auto"/>
        <w:rPr>
          <w:rFonts w:ascii="Candara" w:hAnsi="Candara"/>
        </w:rPr>
      </w:pPr>
    </w:p>
    <w:p w14:paraId="272E1A22" w14:textId="77777777" w:rsidR="001D3043" w:rsidRPr="005D10C1" w:rsidRDefault="002A7CD0" w:rsidP="002B4E45">
      <w:pPr>
        <w:spacing w:line="360" w:lineRule="auto"/>
        <w:rPr>
          <w:rFonts w:ascii="Candara" w:hAnsi="Candara"/>
        </w:rPr>
      </w:pPr>
      <w:r w:rsidRPr="005D10C1">
        <w:rPr>
          <w:rFonts w:ascii="Candara" w:hAnsi="Candara"/>
        </w:rPr>
        <w:t xml:space="preserve">En lo relacionado con la </w:t>
      </w:r>
      <w:r w:rsidRPr="005D10C1">
        <w:rPr>
          <w:rFonts w:ascii="Candara" w:hAnsi="Candara"/>
          <w:b/>
          <w:i/>
        </w:rPr>
        <w:t>amplitud de la tecnología</w:t>
      </w:r>
      <w:r w:rsidRPr="005D10C1">
        <w:rPr>
          <w:rFonts w:ascii="Candara" w:hAnsi="Candara"/>
        </w:rPr>
        <w:t xml:space="preserve"> la base tecnológica de Estados Unidos es </w:t>
      </w:r>
      <w:r w:rsidR="006E1EF9" w:rsidRPr="005D10C1">
        <w:rPr>
          <w:rFonts w:ascii="Candara" w:hAnsi="Candara"/>
        </w:rPr>
        <w:t>extensa</w:t>
      </w:r>
      <w:r w:rsidR="007245C8" w:rsidRPr="005D10C1">
        <w:rPr>
          <w:rFonts w:ascii="Candara" w:hAnsi="Candara"/>
        </w:rPr>
        <w:t>, dado que existen empresas y universidades que tienen conocimientos especializados de vanguardia en muchas áreas de tecnología.</w:t>
      </w:r>
    </w:p>
    <w:p w14:paraId="2EAD6072" w14:textId="77777777" w:rsidR="00356351" w:rsidRPr="005D10C1" w:rsidRDefault="00356351" w:rsidP="002B4E45">
      <w:pPr>
        <w:spacing w:line="360" w:lineRule="auto"/>
        <w:rPr>
          <w:rFonts w:ascii="Candara" w:hAnsi="Candara"/>
        </w:rPr>
      </w:pPr>
    </w:p>
    <w:p w14:paraId="4C59C3F0" w14:textId="77777777" w:rsidR="007E036D" w:rsidRPr="005D10C1" w:rsidRDefault="007245C8" w:rsidP="007F15EA">
      <w:pPr>
        <w:spacing w:line="360" w:lineRule="auto"/>
        <w:rPr>
          <w:rFonts w:ascii="Candara" w:hAnsi="Candara"/>
        </w:rPr>
      </w:pPr>
      <w:r w:rsidRPr="005D10C1">
        <w:rPr>
          <w:rFonts w:ascii="Candara" w:hAnsi="Candara"/>
        </w:rPr>
        <w:t>La I</w:t>
      </w:r>
      <w:r w:rsidR="00356351" w:rsidRPr="005D10C1">
        <w:rPr>
          <w:rFonts w:ascii="Candara" w:hAnsi="Candara"/>
        </w:rPr>
        <w:t xml:space="preserve">+D </w:t>
      </w:r>
      <w:r w:rsidRPr="005D10C1">
        <w:rPr>
          <w:rFonts w:ascii="Candara" w:hAnsi="Candara"/>
        </w:rPr>
        <w:t>es producida y financiada</w:t>
      </w:r>
      <w:r w:rsidR="00356351" w:rsidRPr="005D10C1">
        <w:rPr>
          <w:rFonts w:ascii="Candara" w:hAnsi="Candara"/>
        </w:rPr>
        <w:t xml:space="preserve"> por </w:t>
      </w:r>
      <w:r w:rsidR="00356351" w:rsidRPr="005D10C1">
        <w:rPr>
          <w:rFonts w:ascii="Candara" w:hAnsi="Candara"/>
          <w:b/>
          <w:i/>
        </w:rPr>
        <w:t>instituciones</w:t>
      </w:r>
      <w:r w:rsidR="007E036D" w:rsidRPr="005D10C1">
        <w:rPr>
          <w:rFonts w:ascii="Candara" w:hAnsi="Candara"/>
        </w:rPr>
        <w:t>.</w:t>
      </w:r>
      <w:r w:rsidRPr="005D10C1">
        <w:rPr>
          <w:rFonts w:ascii="Candara" w:hAnsi="Candara"/>
        </w:rPr>
        <w:t xml:space="preserve"> </w:t>
      </w:r>
      <w:r w:rsidR="002B01ED" w:rsidRPr="005D10C1">
        <w:rPr>
          <w:rFonts w:ascii="Candara" w:hAnsi="Candara"/>
        </w:rPr>
        <w:t xml:space="preserve">Múltiples y diversos actores del gobierno, la academia, el sector privado y las organizaciones sin ánimo de lucro están involucrados y motivan el sistema de innovación EE.UU (véase la </w:t>
      </w:r>
      <w:r w:rsidR="00A57352">
        <w:fldChar w:fldCharType="begin"/>
      </w:r>
      <w:r w:rsidR="00A57352">
        <w:instrText xml:space="preserve"> REF _Ref372116446 \h  \* MERGEFORMAT </w:instrText>
      </w:r>
      <w:r w:rsidR="00A57352">
        <w:fldChar w:fldCharType="separate"/>
      </w:r>
      <w:r w:rsidR="005D10C1" w:rsidRPr="005D10C1">
        <w:rPr>
          <w:rFonts w:ascii="Candara" w:hAnsi="Candara"/>
        </w:rPr>
        <w:t>Ilustración 2</w:t>
      </w:r>
      <w:r w:rsidR="005D10C1" w:rsidRPr="005D10C1">
        <w:rPr>
          <w:rFonts w:ascii="Candara" w:hAnsi="Candara"/>
          <w:b/>
        </w:rPr>
        <w:t xml:space="preserve">: Sistema nacional de innovación de </w:t>
      </w:r>
      <w:r w:rsidR="00B8369A" w:rsidRPr="005D10C1">
        <w:rPr>
          <w:rFonts w:ascii="Candara" w:hAnsi="Candara"/>
          <w:b/>
        </w:rPr>
        <w:t>EEUU</w:t>
      </w:r>
      <w:r w:rsidR="00A57352">
        <w:fldChar w:fldCharType="end"/>
      </w:r>
      <w:r w:rsidR="00B8369A">
        <w:rPr>
          <w:rFonts w:ascii="Candara" w:hAnsi="Candara"/>
        </w:rPr>
        <w:t>).</w:t>
      </w:r>
    </w:p>
    <w:p w14:paraId="2ABEB5D1" w14:textId="77777777" w:rsidR="00220584" w:rsidRPr="005D10C1" w:rsidRDefault="00220584" w:rsidP="007F15EA">
      <w:pPr>
        <w:spacing w:line="360" w:lineRule="auto"/>
        <w:rPr>
          <w:rFonts w:ascii="Candara" w:hAnsi="Candara"/>
        </w:rPr>
      </w:pPr>
    </w:p>
    <w:p w14:paraId="7151CE6B" w14:textId="77777777" w:rsidR="002A7CD0" w:rsidRPr="005D10C1" w:rsidRDefault="002B01ED" w:rsidP="007F15EA">
      <w:pPr>
        <w:spacing w:line="360" w:lineRule="auto"/>
        <w:rPr>
          <w:rFonts w:ascii="Candara" w:hAnsi="Candara"/>
        </w:rPr>
      </w:pPr>
      <w:r w:rsidRPr="005D10C1">
        <w:rPr>
          <w:rFonts w:ascii="Candara" w:hAnsi="Candara"/>
        </w:rPr>
        <w:t xml:space="preserve">A nivel federal, la política del sistema de innovación tiene varios nodos. La Casa Blanca y la </w:t>
      </w:r>
      <w:r w:rsidR="003C34FE" w:rsidRPr="005D10C1">
        <w:rPr>
          <w:rFonts w:ascii="Candara" w:hAnsi="Candara"/>
          <w:i/>
        </w:rPr>
        <w:t>US Office of Science and Technology Policy</w:t>
      </w:r>
      <w:r w:rsidRPr="005D10C1">
        <w:rPr>
          <w:rFonts w:ascii="Candara" w:hAnsi="Candara"/>
        </w:rPr>
        <w:t xml:space="preserve"> (OSTP) -Oficina de Política Científica y Tecnológica de EE.UU- coordina las iniciativas de las oficinas ejecutivas. Dirigida por el </w:t>
      </w:r>
      <w:r w:rsidRPr="005D10C1">
        <w:rPr>
          <w:rFonts w:ascii="Candara" w:hAnsi="Candara"/>
        </w:rPr>
        <w:lastRenderedPageBreak/>
        <w:t xml:space="preserve">Asesor Científico del Presidente, la OSTP proporciona asesoramiento sobre políticas </w:t>
      </w:r>
      <w:r w:rsidR="00704C89" w:rsidRPr="005D10C1">
        <w:rPr>
          <w:rFonts w:ascii="Candara" w:hAnsi="Candara"/>
        </w:rPr>
        <w:t>de ciencia y tecnología,</w:t>
      </w:r>
      <w:r w:rsidRPr="005D10C1">
        <w:rPr>
          <w:rFonts w:ascii="Candara" w:hAnsi="Candara"/>
        </w:rPr>
        <w:t xml:space="preserve"> coordina </w:t>
      </w:r>
      <w:r w:rsidR="008651C7" w:rsidRPr="005D10C1">
        <w:rPr>
          <w:rFonts w:ascii="Candara" w:hAnsi="Candara"/>
        </w:rPr>
        <w:t xml:space="preserve">los presupuestos </w:t>
      </w:r>
      <w:r w:rsidRPr="005D10C1">
        <w:rPr>
          <w:rFonts w:ascii="Candara" w:hAnsi="Candara"/>
        </w:rPr>
        <w:t xml:space="preserve">interinstitucionales de I + D, y </w:t>
      </w:r>
      <w:r w:rsidR="00E65E4C" w:rsidRPr="005D10C1">
        <w:rPr>
          <w:rFonts w:ascii="Candara" w:hAnsi="Candara"/>
        </w:rPr>
        <w:t xml:space="preserve">aborda </w:t>
      </w:r>
      <w:r w:rsidR="007F15EA" w:rsidRPr="005D10C1">
        <w:rPr>
          <w:rFonts w:ascii="Candara" w:hAnsi="Candara"/>
        </w:rPr>
        <w:t xml:space="preserve">la mayoría de </w:t>
      </w:r>
      <w:r w:rsidRPr="005D10C1">
        <w:rPr>
          <w:rFonts w:ascii="Candara" w:hAnsi="Candara"/>
        </w:rPr>
        <w:t xml:space="preserve">problemas de innovación y oportunidades. </w:t>
      </w:r>
      <w:r w:rsidR="007F15EA" w:rsidRPr="005D10C1">
        <w:rPr>
          <w:rFonts w:ascii="Candara" w:hAnsi="Candara"/>
        </w:rPr>
        <w:t>Los p</w:t>
      </w:r>
      <w:r w:rsidRPr="005D10C1">
        <w:rPr>
          <w:rFonts w:ascii="Candara" w:hAnsi="Candara"/>
        </w:rPr>
        <w:t xml:space="preserve">residentes </w:t>
      </w:r>
      <w:r w:rsidR="007F15EA" w:rsidRPr="005D10C1">
        <w:rPr>
          <w:rFonts w:ascii="Candara" w:hAnsi="Candara"/>
        </w:rPr>
        <w:t xml:space="preserve">del </w:t>
      </w:r>
      <w:r w:rsidR="003C34FE" w:rsidRPr="005D10C1">
        <w:rPr>
          <w:rFonts w:ascii="Candara" w:hAnsi="Candara"/>
          <w:i/>
        </w:rPr>
        <w:t>Council of Advisors on Science and Technology (PCAST)</w:t>
      </w:r>
      <w:r w:rsidR="007F15EA" w:rsidRPr="005D10C1">
        <w:rPr>
          <w:rFonts w:ascii="Candara" w:hAnsi="Candara"/>
          <w:i/>
        </w:rPr>
        <w:t>-</w:t>
      </w:r>
      <w:r w:rsidR="003C34FE" w:rsidRPr="005D10C1">
        <w:rPr>
          <w:rFonts w:ascii="Candara" w:hAnsi="Candara"/>
          <w:i/>
        </w:rPr>
        <w:t xml:space="preserve"> </w:t>
      </w:r>
      <w:r w:rsidR="007F15EA" w:rsidRPr="005D10C1">
        <w:rPr>
          <w:rFonts w:ascii="Candara" w:hAnsi="Candara"/>
        </w:rPr>
        <w:t xml:space="preserve">Consejo </w:t>
      </w:r>
      <w:r w:rsidRPr="005D10C1">
        <w:rPr>
          <w:rFonts w:ascii="Candara" w:hAnsi="Candara"/>
        </w:rPr>
        <w:t>de Asesores de Ciencia y Tecnología</w:t>
      </w:r>
      <w:r w:rsidR="007F15EA" w:rsidRPr="005D10C1">
        <w:rPr>
          <w:rFonts w:ascii="Candara" w:hAnsi="Candara"/>
        </w:rPr>
        <w:t>-</w:t>
      </w:r>
      <w:r w:rsidRPr="005D10C1">
        <w:rPr>
          <w:rFonts w:ascii="Candara" w:hAnsi="Candara"/>
        </w:rPr>
        <w:t xml:space="preserve"> y el </w:t>
      </w:r>
      <w:r w:rsidR="003C34FE" w:rsidRPr="005D10C1">
        <w:rPr>
          <w:rFonts w:ascii="Candara" w:hAnsi="Candara"/>
          <w:i/>
        </w:rPr>
        <w:t>National Science</w:t>
      </w:r>
      <w:r w:rsidR="007E036D" w:rsidRPr="005D10C1">
        <w:rPr>
          <w:rFonts w:ascii="Candara" w:hAnsi="Candara"/>
          <w:i/>
        </w:rPr>
        <w:t xml:space="preserve"> </w:t>
      </w:r>
      <w:r w:rsidR="003C34FE" w:rsidRPr="005D10C1">
        <w:rPr>
          <w:rFonts w:ascii="Candara" w:hAnsi="Candara"/>
          <w:i/>
        </w:rPr>
        <w:t xml:space="preserve">and Technology Council (NTSC) </w:t>
      </w:r>
      <w:r w:rsidRPr="005D10C1">
        <w:rPr>
          <w:rFonts w:ascii="Candara" w:hAnsi="Candara"/>
        </w:rPr>
        <w:t>Consejo Nacional de Ciencia y Tecnología ocupan un lugar destacado entre los comités de expert</w:t>
      </w:r>
      <w:r w:rsidR="007B3835" w:rsidRPr="005D10C1">
        <w:rPr>
          <w:rFonts w:ascii="Candara" w:hAnsi="Candara"/>
        </w:rPr>
        <w:t>os que consideran y proporcionan</w:t>
      </w:r>
      <w:r w:rsidRPr="005D10C1">
        <w:rPr>
          <w:rFonts w:ascii="Candara" w:hAnsi="Candara"/>
        </w:rPr>
        <w:t xml:space="preserve"> asesoramiento sobre cuestiones relacionadas con la innovación. También dentro de la Casa Blanca, la </w:t>
      </w:r>
      <w:r w:rsidR="003C34FE" w:rsidRPr="005D10C1">
        <w:rPr>
          <w:rFonts w:ascii="Candara" w:hAnsi="Candara"/>
          <w:i/>
        </w:rPr>
        <w:t xml:space="preserve">Office of Management and Budget </w:t>
      </w:r>
      <w:r w:rsidR="007B3835" w:rsidRPr="005D10C1">
        <w:rPr>
          <w:rFonts w:ascii="Candara" w:hAnsi="Candara"/>
        </w:rPr>
        <w:t xml:space="preserve">(OMB) - </w:t>
      </w:r>
      <w:r w:rsidRPr="005D10C1">
        <w:rPr>
          <w:rFonts w:ascii="Candara" w:hAnsi="Candara"/>
        </w:rPr>
        <w:t>Oficina de Administración y Presupuesto</w:t>
      </w:r>
      <w:r w:rsidR="007B3835" w:rsidRPr="005D10C1">
        <w:rPr>
          <w:rFonts w:ascii="Candara" w:hAnsi="Candara"/>
        </w:rPr>
        <w:t>-</w:t>
      </w:r>
      <w:r w:rsidRPr="005D10C1">
        <w:rPr>
          <w:rFonts w:ascii="Candara" w:hAnsi="Candara"/>
        </w:rPr>
        <w:t xml:space="preserve"> lleva a cabo revisiones del presupuesto anual y las evaluaciones de desempeño de los programas de la agencia</w:t>
      </w:r>
      <w:r w:rsidR="00220584" w:rsidRPr="005D10C1">
        <w:rPr>
          <w:rFonts w:ascii="Candara" w:hAnsi="Candara"/>
        </w:rPr>
        <w:t xml:space="preserve"> </w:t>
      </w:r>
      <w:r w:rsidR="003B0D24" w:rsidRPr="005D10C1">
        <w:rPr>
          <w:rFonts w:ascii="Candara" w:hAnsi="Candara"/>
        </w:rPr>
        <w:fldChar w:fldCharType="begin" w:fldLock="1"/>
      </w:r>
      <w:r w:rsidR="00CA1A09" w:rsidRPr="005D10C1">
        <w:rPr>
          <w:rFonts w:ascii="Candara" w:hAnsi="Candara"/>
        </w:rPr>
        <w:instrText>ADDIN CSL_CITATION { "citationItems" : [ { "id" : "ITEM-1", "itemData" : { "ISBN" : "978-3-8396-0114-3", "author" : [ { "dropping-particle" : "", "family" : "Shapira", "given" : "Philip", "non-dropping-particle" : "", "parse-names" : false, "suffix" : "" }, { "dropping-particle" : "", "family" : "Youtie", "given" : "Jan", "non-dropping-particle" : "", "parse-names" : false, "suffix" : "" } ], "chapter-number" : "Chapter 2", "container-title" : "Competing for Global Innovation Leadership: Innovation Systems and Policies in the USA, EU and Asia", "editor" : [ { "dropping-particle" : "", "family" : "Rainer", "given" : "Margot", "non-dropping-particle" : "", "parse-names" : false, "suffix" : "" } ], "id" : "ITEM-1", "issue" : "January", "issued" : { "date-parts" : [ [ "2010" ] ] }, "page" : "5-29", "title" : "The Innovation System and Innovation Policy in the United States", "type" : "chapter" }, "uris" : [ "http://www.mendeley.com/documents/?uuid=0f87b5f0-92d8-4ee2-8c8d-ceab0e8411fc" ] } ], "mendeley" : { "previouslyFormattedCitation" : "(Shapira &amp; Youtie, 2010)" }, "properties" : { "noteIndex" : 0 }, "schema" : "https://github.com/citation-style-language/schema/raw/master/csl-citation.json" }</w:instrText>
      </w:r>
      <w:r w:rsidR="003B0D24" w:rsidRPr="005D10C1">
        <w:rPr>
          <w:rFonts w:ascii="Candara" w:hAnsi="Candara"/>
        </w:rPr>
        <w:fldChar w:fldCharType="separate"/>
      </w:r>
      <w:r w:rsidR="00220584" w:rsidRPr="005D10C1">
        <w:rPr>
          <w:rFonts w:ascii="Candara" w:hAnsi="Candara"/>
          <w:noProof/>
        </w:rPr>
        <w:t>(Shapira &amp; Youtie, 2010)</w:t>
      </w:r>
      <w:r w:rsidR="003B0D24" w:rsidRPr="005D10C1">
        <w:rPr>
          <w:rFonts w:ascii="Candara" w:hAnsi="Candara"/>
        </w:rPr>
        <w:fldChar w:fldCharType="end"/>
      </w:r>
      <w:r w:rsidRPr="005D10C1">
        <w:rPr>
          <w:rFonts w:ascii="Candara" w:hAnsi="Candara"/>
        </w:rPr>
        <w:t>.</w:t>
      </w:r>
    </w:p>
    <w:p w14:paraId="6A68C140" w14:textId="77777777" w:rsidR="00385D7C" w:rsidRPr="005D10C1" w:rsidRDefault="00385D7C" w:rsidP="002B4E45">
      <w:pPr>
        <w:spacing w:line="360" w:lineRule="auto"/>
        <w:rPr>
          <w:rFonts w:ascii="Candara" w:hAnsi="Candara"/>
        </w:rPr>
      </w:pPr>
    </w:p>
    <w:p w14:paraId="4FCAA11F" w14:textId="77777777" w:rsidR="00220584" w:rsidRPr="005D10C1" w:rsidRDefault="00220584" w:rsidP="00220584">
      <w:pPr>
        <w:spacing w:line="360" w:lineRule="auto"/>
        <w:rPr>
          <w:rFonts w:ascii="Candara" w:hAnsi="Candara"/>
        </w:rPr>
      </w:pPr>
      <w:r w:rsidRPr="005D10C1">
        <w:rPr>
          <w:rFonts w:ascii="Candara" w:hAnsi="Candara"/>
        </w:rPr>
        <w:t xml:space="preserve">También existen unos intermediarios y organizaciones puente que tienen un papel importante </w:t>
      </w:r>
      <w:r w:rsidR="007245C8" w:rsidRPr="005D10C1">
        <w:rPr>
          <w:rFonts w:ascii="Candara" w:hAnsi="Candara"/>
        </w:rPr>
        <w:t xml:space="preserve">en el establecimiento de las políticas nacionales de innovación. </w:t>
      </w:r>
      <w:r w:rsidRPr="005D10C1">
        <w:rPr>
          <w:rFonts w:ascii="Candara" w:hAnsi="Candara"/>
        </w:rPr>
        <w:t>Entre los más destacados son el Consejo de Competitividad, y las Academias Nacionales. Las cuales realizan estudios, talleres, foros para diferentes actores en el ámbit</w:t>
      </w:r>
      <w:r w:rsidR="007245C8" w:rsidRPr="005D10C1">
        <w:rPr>
          <w:rFonts w:ascii="Candara" w:hAnsi="Candara"/>
        </w:rPr>
        <w:t>o de políticas de innovación EE</w:t>
      </w:r>
      <w:r w:rsidRPr="005D10C1">
        <w:rPr>
          <w:rFonts w:ascii="Candara" w:hAnsi="Candara"/>
        </w:rPr>
        <w:t xml:space="preserve">UU. </w:t>
      </w:r>
      <w:r w:rsidR="007245C8" w:rsidRPr="005D10C1">
        <w:rPr>
          <w:rFonts w:ascii="Candara" w:hAnsi="Candara"/>
        </w:rPr>
        <w:t>Algunos</w:t>
      </w:r>
      <w:r w:rsidR="001851C6" w:rsidRPr="005D10C1">
        <w:rPr>
          <w:rFonts w:ascii="Candara" w:hAnsi="Candara"/>
        </w:rPr>
        <w:t xml:space="preserve"> intermediarios </w:t>
      </w:r>
      <w:r w:rsidR="007245C8" w:rsidRPr="005D10C1">
        <w:rPr>
          <w:rFonts w:ascii="Candara" w:hAnsi="Candara"/>
        </w:rPr>
        <w:t>son</w:t>
      </w:r>
      <w:r w:rsidR="001851C6" w:rsidRPr="005D10C1">
        <w:rPr>
          <w:rFonts w:ascii="Candara" w:hAnsi="Candara"/>
        </w:rPr>
        <w:t xml:space="preserve"> las cámaras de comercio, asociaciones público-privadas y foros empresariales</w:t>
      </w:r>
      <w:r w:rsidR="00FC6C07" w:rsidRPr="005D10C1">
        <w:rPr>
          <w:rFonts w:ascii="Candara" w:hAnsi="Candara"/>
        </w:rPr>
        <w:t xml:space="preserve">, los cuales tienen un papel fundamental </w:t>
      </w:r>
      <w:r w:rsidR="007245C8" w:rsidRPr="005D10C1">
        <w:rPr>
          <w:rFonts w:ascii="Candara" w:hAnsi="Candara"/>
        </w:rPr>
        <w:t>en el fomento de la innovación en sus áreas de dominio y su influencia en las políticas federales.</w:t>
      </w:r>
    </w:p>
    <w:p w14:paraId="2B93F92E" w14:textId="77777777" w:rsidR="00023E51" w:rsidRPr="005D10C1" w:rsidRDefault="00023E51" w:rsidP="00220584">
      <w:pPr>
        <w:spacing w:line="360" w:lineRule="auto"/>
        <w:rPr>
          <w:rFonts w:ascii="Candara" w:hAnsi="Candara"/>
        </w:rPr>
      </w:pPr>
    </w:p>
    <w:p w14:paraId="66CB2829" w14:textId="77777777" w:rsidR="00220584" w:rsidRPr="005D10C1" w:rsidRDefault="007245C8" w:rsidP="00220584">
      <w:pPr>
        <w:spacing w:line="360" w:lineRule="auto"/>
        <w:rPr>
          <w:rFonts w:ascii="Candara" w:hAnsi="Candara"/>
        </w:rPr>
      </w:pPr>
      <w:r w:rsidRPr="005D10C1">
        <w:rPr>
          <w:rFonts w:ascii="Candara" w:hAnsi="Candara"/>
        </w:rPr>
        <w:t>La industria privada está compuesta de diversos sectores, entre ellos las grandes empresas multinacionales y nacionales, las industrias maduras existentes y las de alta tecnología de reciente creación.</w:t>
      </w:r>
      <w:r w:rsidR="009F45D0" w:rsidRPr="005D10C1">
        <w:rPr>
          <w:rFonts w:ascii="Candara" w:hAnsi="Candara"/>
        </w:rPr>
        <w:t xml:space="preserve"> Las innovaciones se difunden a las empresas del sector privado a través de varios métodos, como</w:t>
      </w:r>
      <w:r w:rsidR="001F1186" w:rsidRPr="005D10C1">
        <w:rPr>
          <w:rFonts w:ascii="Candara" w:hAnsi="Candara"/>
        </w:rPr>
        <w:t xml:space="preserve">: </w:t>
      </w:r>
      <w:r w:rsidR="009F45D0" w:rsidRPr="005D10C1">
        <w:rPr>
          <w:rFonts w:ascii="Candara" w:hAnsi="Candara"/>
        </w:rPr>
        <w:t>cadenas de suministro, concesión de licencias de propiedad intelectual,</w:t>
      </w:r>
      <w:r w:rsidR="001F1186" w:rsidRPr="005D10C1">
        <w:rPr>
          <w:rFonts w:ascii="Candara" w:hAnsi="Candara"/>
        </w:rPr>
        <w:t xml:space="preserve"> y</w:t>
      </w:r>
      <w:r w:rsidR="009F45D0" w:rsidRPr="005D10C1">
        <w:rPr>
          <w:rFonts w:ascii="Candara" w:hAnsi="Candara"/>
        </w:rPr>
        <w:t xml:space="preserve"> movimiento de capital humano entre las empresas y otros </w:t>
      </w:r>
      <w:r w:rsidR="009F45D0" w:rsidRPr="005D10C1">
        <w:rPr>
          <w:rFonts w:ascii="Candara" w:hAnsi="Candara"/>
        </w:rPr>
        <w:lastRenderedPageBreak/>
        <w:t xml:space="preserve">tipos de instituciones. </w:t>
      </w:r>
      <w:r w:rsidR="007944E7" w:rsidRPr="005D10C1">
        <w:rPr>
          <w:rFonts w:ascii="Candara" w:hAnsi="Candara"/>
        </w:rPr>
        <w:t>H</w:t>
      </w:r>
      <w:r w:rsidR="009F45D0" w:rsidRPr="005D10C1">
        <w:rPr>
          <w:rFonts w:ascii="Candara" w:hAnsi="Candara"/>
        </w:rPr>
        <w:t>ay un sector grande y avanzado de capital de riesgo para apoyar nuevas empresas de alta tecnología</w:t>
      </w:r>
      <w:r w:rsidR="001F1186" w:rsidRPr="005D10C1">
        <w:rPr>
          <w:rFonts w:ascii="Candara" w:hAnsi="Candara"/>
        </w:rPr>
        <w:t xml:space="preserve"> </w:t>
      </w:r>
      <w:r w:rsidR="003B0D24" w:rsidRPr="005D10C1">
        <w:rPr>
          <w:rFonts w:ascii="Candara" w:hAnsi="Candara"/>
        </w:rPr>
        <w:fldChar w:fldCharType="begin" w:fldLock="1"/>
      </w:r>
      <w:r w:rsidR="00CA1A09" w:rsidRPr="005D10C1">
        <w:rPr>
          <w:rFonts w:ascii="Candara" w:hAnsi="Candara"/>
        </w:rPr>
        <w:instrText>ADDIN CSL_CITATION { "citationItems" : [ { "id" : "ITEM-1", "itemData" : { "URL" : "https://www.pwcmoneytree.com/MTPublic/ns/index.jsp", "author" : [ { "dropping-particle" : "", "family" : "Money Tree Report", "given" : "", "non-dropping-particle" : "", "parse-names" : false, "suffix" : "" } ], "id" : "ITEM-1", "issued" : { "date-parts" : [ [ "2009" ] ] }, "title" : "Money Tree Report", "type" : "webpage" }, "uris" : [ "http://www.mendeley.com/documents/?uuid=b26390a6-6395-4861-87c1-36e28a59233f" ] } ], "mendeley" : { "previouslyFormattedCitation" : "(Money Tree Report, 2009)" }, "properties" : { "noteIndex" : 0 }, "schema" : "https://github.com/citation-style-language/schema/raw/master/csl-citation.json" }</w:instrText>
      </w:r>
      <w:r w:rsidR="003B0D24" w:rsidRPr="005D10C1">
        <w:rPr>
          <w:rFonts w:ascii="Candara" w:hAnsi="Candara"/>
        </w:rPr>
        <w:fldChar w:fldCharType="separate"/>
      </w:r>
      <w:r w:rsidR="001F1186" w:rsidRPr="005D10C1">
        <w:rPr>
          <w:rFonts w:ascii="Candara" w:hAnsi="Candara"/>
          <w:noProof/>
        </w:rPr>
        <w:t>(Money Tree Report, 2009)</w:t>
      </w:r>
      <w:r w:rsidR="003B0D24" w:rsidRPr="005D10C1">
        <w:rPr>
          <w:rFonts w:ascii="Candara" w:hAnsi="Candara"/>
        </w:rPr>
        <w:fldChar w:fldCharType="end"/>
      </w:r>
      <w:r w:rsidR="009F45D0" w:rsidRPr="005D10C1">
        <w:rPr>
          <w:rFonts w:ascii="Candara" w:hAnsi="Candara"/>
        </w:rPr>
        <w:t>.</w:t>
      </w:r>
    </w:p>
    <w:p w14:paraId="1AD08D8E" w14:textId="77777777" w:rsidR="009F45D0" w:rsidRPr="005D10C1" w:rsidRDefault="009F45D0" w:rsidP="002B4E45">
      <w:pPr>
        <w:spacing w:line="360" w:lineRule="auto"/>
        <w:rPr>
          <w:rFonts w:ascii="Candara" w:hAnsi="Candara"/>
        </w:rPr>
      </w:pPr>
    </w:p>
    <w:p w14:paraId="4DD34033" w14:textId="77777777" w:rsidR="00E060CE" w:rsidRPr="005D10C1" w:rsidRDefault="00385D7C" w:rsidP="002B4E45">
      <w:pPr>
        <w:spacing w:line="360" w:lineRule="auto"/>
        <w:rPr>
          <w:rFonts w:ascii="Candara" w:hAnsi="Candara"/>
        </w:rPr>
      </w:pPr>
      <w:r w:rsidRPr="005D10C1">
        <w:rPr>
          <w:rFonts w:ascii="Candara" w:hAnsi="Candara"/>
        </w:rPr>
        <w:t>El rol de la infraestructura educativa es importante en</w:t>
      </w:r>
      <w:r w:rsidR="003F31B6" w:rsidRPr="005D10C1">
        <w:rPr>
          <w:rFonts w:ascii="Candara" w:hAnsi="Candara"/>
        </w:rPr>
        <w:t xml:space="preserve"> el sistema de innovación de EEUU</w:t>
      </w:r>
      <w:r w:rsidRPr="005D10C1">
        <w:rPr>
          <w:rFonts w:ascii="Candara" w:hAnsi="Candara"/>
        </w:rPr>
        <w:t xml:space="preserve">, particularmente en el nivel terciario. Las universidades </w:t>
      </w:r>
      <w:r w:rsidR="003F31B6" w:rsidRPr="005D10C1">
        <w:rPr>
          <w:rFonts w:ascii="Candara" w:hAnsi="Candara"/>
        </w:rPr>
        <w:t>en los EE</w:t>
      </w:r>
      <w:r w:rsidR="00E00CAA" w:rsidRPr="005D10C1">
        <w:rPr>
          <w:rFonts w:ascii="Candara" w:hAnsi="Candara"/>
        </w:rPr>
        <w:t>UU no están sujeta</w:t>
      </w:r>
      <w:r w:rsidRPr="005D10C1">
        <w:rPr>
          <w:rFonts w:ascii="Candara" w:hAnsi="Candara"/>
        </w:rPr>
        <w:t xml:space="preserve">s </w:t>
      </w:r>
      <w:r w:rsidR="00E00CAA" w:rsidRPr="005D10C1">
        <w:rPr>
          <w:rFonts w:ascii="Candara" w:hAnsi="Candara"/>
        </w:rPr>
        <w:t xml:space="preserve">a estatutos </w:t>
      </w:r>
      <w:r w:rsidR="00925EDF" w:rsidRPr="005D10C1">
        <w:rPr>
          <w:rFonts w:ascii="Candara" w:hAnsi="Candara"/>
        </w:rPr>
        <w:t xml:space="preserve">centrales </w:t>
      </w:r>
      <w:r w:rsidR="00E00CAA" w:rsidRPr="005D10C1">
        <w:rPr>
          <w:rFonts w:ascii="Candara" w:hAnsi="Candara"/>
        </w:rPr>
        <w:t xml:space="preserve">por </w:t>
      </w:r>
      <w:r w:rsidRPr="005D10C1">
        <w:rPr>
          <w:rFonts w:ascii="Candara" w:hAnsi="Candara"/>
        </w:rPr>
        <w:t>el gobierno federal. Más bien, las universidades públicas son organizadas por los estados, mientras que las universidades privadas suelen establecerse como organizaciones sin fines de lucro.</w:t>
      </w:r>
    </w:p>
    <w:p w14:paraId="3C52C689" w14:textId="77777777" w:rsidR="001A7A86" w:rsidRPr="005D10C1" w:rsidRDefault="001A7A86" w:rsidP="002B4E45">
      <w:pPr>
        <w:spacing w:line="360" w:lineRule="auto"/>
        <w:rPr>
          <w:rFonts w:ascii="Candara" w:hAnsi="Candara"/>
        </w:rPr>
      </w:pPr>
    </w:p>
    <w:p w14:paraId="4E973FB9" w14:textId="77777777" w:rsidR="001A7A86" w:rsidRPr="005D10C1" w:rsidRDefault="001A7A86" w:rsidP="002B4E45">
      <w:pPr>
        <w:spacing w:line="360" w:lineRule="auto"/>
        <w:rPr>
          <w:rFonts w:ascii="Candara" w:hAnsi="Candara"/>
        </w:rPr>
      </w:pPr>
      <w:r w:rsidRPr="005D10C1">
        <w:rPr>
          <w:rFonts w:ascii="Candara" w:hAnsi="Candara"/>
        </w:rPr>
        <w:t xml:space="preserve">El sector de investigación está </w:t>
      </w:r>
      <w:r w:rsidR="006C153B" w:rsidRPr="005D10C1">
        <w:rPr>
          <w:rFonts w:ascii="Candara" w:hAnsi="Candara"/>
        </w:rPr>
        <w:t xml:space="preserve">constituido por: 1.720 instituciones de educación superior (incluye colleges y universidades reconocidos por el Departamento de Educación) </w:t>
      </w:r>
      <w:r w:rsidR="003B0D24" w:rsidRPr="005D10C1">
        <w:rPr>
          <w:rFonts w:ascii="Candara" w:hAnsi="Candara"/>
        </w:rPr>
        <w:fldChar w:fldCharType="begin" w:fldLock="1"/>
      </w:r>
      <w:r w:rsidR="00CA1A09" w:rsidRPr="005D10C1">
        <w:rPr>
          <w:rFonts w:ascii="Candara" w:hAnsi="Candara"/>
        </w:rPr>
        <w:instrText>ADDIN CSL_CITATION { "citationItems" : [ { "id" : "ITEM-1", "itemData" : { "abstract" : "The primary purpose of the Digest of Education Statistics is to provide a compilation of statistical information covering the broad field of American education from prekindergarten through graduate school. The Digest includes a selection of data from many sources, both government and private, and draws especially on the results of surveys and activities carried out by the National Center for Education Statistics (NCES).", "author" : [ { "dropping-particle" : "", "family" : "Department of Education", "given" : "", "non-dropping-particle" : "", "parse-names" : false, "suffix" : "" } ], "id" : "ITEM-1", "issued" : { "date-parts" : [ [ "2004" ] ] }, "publisher" : "National Center for Education Statistics", "title" : "Digest of Education Statistics", "type" : "article" }, "uris" : [ "http://www.mendeley.com/documents/?uuid=1aaa6dc3-55ac-4f9c-9c9a-b7f2a17b75ba" ] } ], "mendeley" : { "previouslyFormattedCitation" : "(Department of Education, 2004)" }, "properties" : { "noteIndex" : 0 }, "schema" : "https://github.com/citation-style-language/schema/raw/master/csl-citation.json" }</w:instrText>
      </w:r>
      <w:r w:rsidR="003B0D24" w:rsidRPr="005D10C1">
        <w:rPr>
          <w:rFonts w:ascii="Candara" w:hAnsi="Candara"/>
        </w:rPr>
        <w:fldChar w:fldCharType="separate"/>
      </w:r>
      <w:r w:rsidR="00F25D82" w:rsidRPr="005D10C1">
        <w:rPr>
          <w:rFonts w:ascii="Candara" w:hAnsi="Candara"/>
          <w:noProof/>
        </w:rPr>
        <w:t>(Department of Education, 2004)</w:t>
      </w:r>
      <w:r w:rsidR="003B0D24" w:rsidRPr="005D10C1">
        <w:rPr>
          <w:rFonts w:ascii="Candara" w:hAnsi="Candara"/>
        </w:rPr>
        <w:fldChar w:fldCharType="end"/>
      </w:r>
      <w:r w:rsidR="00F73B81" w:rsidRPr="005D10C1">
        <w:rPr>
          <w:rFonts w:ascii="Candara" w:hAnsi="Candara"/>
        </w:rPr>
        <w:t>,</w:t>
      </w:r>
      <w:r w:rsidR="00337B06" w:rsidRPr="005D10C1">
        <w:rPr>
          <w:rFonts w:ascii="Candara" w:hAnsi="Candara"/>
        </w:rPr>
        <w:t xml:space="preserve"> 16 laboratorios nacionales (4 administrados por la industria privada, 4 por instituciones sin ánimo de lucro y 8 por universidades), 9 </w:t>
      </w:r>
      <w:r w:rsidR="00933F12" w:rsidRPr="005D10C1">
        <w:rPr>
          <w:rFonts w:ascii="Candara" w:hAnsi="Candara"/>
          <w:i/>
        </w:rPr>
        <w:t>Federally Funded R&amp;D Centers</w:t>
      </w:r>
      <w:r w:rsidR="00933F12" w:rsidRPr="005D10C1">
        <w:rPr>
          <w:rFonts w:ascii="Candara" w:hAnsi="Candara"/>
        </w:rPr>
        <w:t xml:space="preserve"> </w:t>
      </w:r>
      <w:r w:rsidR="00933F12" w:rsidRPr="005D10C1">
        <w:rPr>
          <w:rFonts w:ascii="Candara" w:hAnsi="Candara"/>
          <w:i/>
        </w:rPr>
        <w:t>(FFRDCs)-</w:t>
      </w:r>
      <w:r w:rsidR="00933F12" w:rsidRPr="005D10C1">
        <w:rPr>
          <w:rFonts w:ascii="Candara" w:hAnsi="Candara"/>
        </w:rPr>
        <w:t>C</w:t>
      </w:r>
      <w:r w:rsidR="00337B06" w:rsidRPr="005D10C1">
        <w:rPr>
          <w:rFonts w:ascii="Candara" w:hAnsi="Candara"/>
        </w:rPr>
        <w:t>entros de I+D financiados por el gobierno federal</w:t>
      </w:r>
      <w:r w:rsidR="00AC1C31" w:rsidRPr="005D10C1">
        <w:rPr>
          <w:rFonts w:ascii="Candara" w:hAnsi="Candara"/>
        </w:rPr>
        <w:t xml:space="preserve">, para finalizar es importante mencionar que existen 230 oficinas de transferencia de tecnología (perteneciente a universidades e instituciones de investigación sin ánimo de lucro que son representados por la AUTM) </w:t>
      </w:r>
      <w:r w:rsidR="003B0D24" w:rsidRPr="005D10C1">
        <w:rPr>
          <w:rFonts w:ascii="Candara" w:hAnsi="Candara"/>
        </w:rPr>
        <w:fldChar w:fldCharType="begin" w:fldLock="1"/>
      </w:r>
      <w:r w:rsidR="00CA1A09" w:rsidRPr="005D10C1">
        <w:rPr>
          <w:rFonts w:ascii="Candara" w:hAnsi="Candara"/>
        </w:rPr>
        <w:instrText>ADDIN CSL_CITATION { "citationItems" : [ { "id" : "ITEM-1", "itemData" : { "URL" : "http://www.ucop.edu/ott/faculty/tech.html", "author" : [ { "dropping-particle" : "", "family" : "University Of California", "given" : "", "non-dropping-particle" : "", "parse-names" : false, "suffix" : "" } ], "id" : "ITEM-1", "issued" : { "date-parts" : [ [ "2013" ] ] }, "title" : "Office of Technology Transfer -Questions and Answers", "type" : "webpage" }, "uris" : [ "http://www.mendeley.com/documents/?uuid=47cc42e5-f3bd-4c16-ae18-9439a07b1b3c" ] } ], "mendeley" : { "previouslyFormattedCitation" : "(University Of California, 2013)" }, "properties" : { "noteIndex" : 0 }, "schema" : "https://github.com/citation-style-language/schema/raw/master/csl-citation.json" }</w:instrText>
      </w:r>
      <w:r w:rsidR="003B0D24" w:rsidRPr="005D10C1">
        <w:rPr>
          <w:rFonts w:ascii="Candara" w:hAnsi="Candara"/>
        </w:rPr>
        <w:fldChar w:fldCharType="separate"/>
      </w:r>
      <w:r w:rsidR="00AC1C31" w:rsidRPr="005D10C1">
        <w:rPr>
          <w:rFonts w:ascii="Candara" w:hAnsi="Candara"/>
          <w:noProof/>
        </w:rPr>
        <w:t>(University Of California, 2013)</w:t>
      </w:r>
      <w:r w:rsidR="003B0D24" w:rsidRPr="005D10C1">
        <w:rPr>
          <w:rFonts w:ascii="Candara" w:hAnsi="Candara"/>
        </w:rPr>
        <w:fldChar w:fldCharType="end"/>
      </w:r>
      <w:r w:rsidR="00933F12" w:rsidRPr="005D10C1">
        <w:rPr>
          <w:rFonts w:ascii="Candara" w:hAnsi="Candara"/>
        </w:rPr>
        <w:t xml:space="preserve"> </w:t>
      </w:r>
    </w:p>
    <w:p w14:paraId="1B7480C3" w14:textId="77777777" w:rsidR="001A7A86" w:rsidRPr="005D10C1" w:rsidRDefault="001A7A86" w:rsidP="002B4E45">
      <w:pPr>
        <w:spacing w:line="360" w:lineRule="auto"/>
        <w:rPr>
          <w:rFonts w:ascii="Candara" w:hAnsi="Candara"/>
        </w:rPr>
      </w:pPr>
    </w:p>
    <w:p w14:paraId="5F7C8989" w14:textId="77777777" w:rsidR="00751384" w:rsidRPr="005D10C1" w:rsidRDefault="007260F4" w:rsidP="002B4E45">
      <w:pPr>
        <w:spacing w:line="360" w:lineRule="auto"/>
        <w:rPr>
          <w:rFonts w:ascii="Candara" w:hAnsi="Candara"/>
        </w:rPr>
      </w:pPr>
      <w:r w:rsidRPr="005D10C1">
        <w:rPr>
          <w:rFonts w:ascii="Candara" w:hAnsi="Candara"/>
        </w:rPr>
        <w:t>A continuación</w:t>
      </w:r>
      <w:r w:rsidR="006C153B" w:rsidRPr="005D10C1">
        <w:rPr>
          <w:rFonts w:ascii="Candara" w:hAnsi="Candara"/>
        </w:rPr>
        <w:t>, en la ilustración 2, es</w:t>
      </w:r>
      <w:r w:rsidR="00751384" w:rsidRPr="005D10C1">
        <w:rPr>
          <w:rFonts w:ascii="Candara" w:hAnsi="Candara"/>
        </w:rPr>
        <w:t xml:space="preserve"> posib</w:t>
      </w:r>
      <w:r w:rsidR="0071070D" w:rsidRPr="005D10C1">
        <w:rPr>
          <w:rFonts w:ascii="Candara" w:hAnsi="Candara"/>
        </w:rPr>
        <w:t>le ver de una manera esquemática</w:t>
      </w:r>
      <w:r w:rsidR="00751384" w:rsidRPr="005D10C1">
        <w:rPr>
          <w:rFonts w:ascii="Candara" w:hAnsi="Candara"/>
        </w:rPr>
        <w:t xml:space="preserve"> el sistema de innovación de Estados Unidos</w:t>
      </w:r>
      <w:r w:rsidR="00BA53F2" w:rsidRPr="005D10C1">
        <w:rPr>
          <w:rFonts w:ascii="Candara" w:hAnsi="Candara"/>
        </w:rPr>
        <w:t xml:space="preserve"> (Shapira &amp; Youtie, 2010)</w:t>
      </w:r>
      <w:r w:rsidR="00751384" w:rsidRPr="005D10C1">
        <w:rPr>
          <w:rFonts w:ascii="Candara" w:hAnsi="Candara"/>
        </w:rPr>
        <w:t>.</w:t>
      </w:r>
    </w:p>
    <w:p w14:paraId="47B53EA9" w14:textId="77777777" w:rsidR="004F0A8B" w:rsidRPr="005D10C1" w:rsidRDefault="00F43022" w:rsidP="00C652AD">
      <w:pPr>
        <w:spacing w:line="360" w:lineRule="auto"/>
        <w:jc w:val="center"/>
        <w:rPr>
          <w:rFonts w:ascii="Candara" w:hAnsi="Candara"/>
        </w:rPr>
      </w:pPr>
      <w:r w:rsidRPr="005D10C1">
        <w:rPr>
          <w:rFonts w:ascii="Candara" w:hAnsi="Candara"/>
        </w:rPr>
        <w:object w:dxaOrig="7184" w:dyaOrig="5378" w14:anchorId="5F94FAA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in;height:268.5pt" o:ole="">
            <v:imagedata r:id="rId11" o:title=""/>
          </v:shape>
          <o:OLEObject Type="Embed" ProgID="PowerPoint.Slide.12" ShapeID="_x0000_i1025" DrawAspect="Content" ObjectID="_1620469848" r:id="rId12"/>
        </w:object>
      </w:r>
    </w:p>
    <w:p w14:paraId="0F31B6D5" w14:textId="77777777" w:rsidR="00755385" w:rsidRPr="005D10C1" w:rsidRDefault="00F66898" w:rsidP="00F66898">
      <w:pPr>
        <w:pStyle w:val="Descripcin"/>
        <w:rPr>
          <w:rFonts w:ascii="Candara" w:hAnsi="Candara"/>
          <w:b w:val="0"/>
          <w:color w:val="auto"/>
        </w:rPr>
      </w:pPr>
      <w:bookmarkStart w:id="232" w:name="_Toc377652593"/>
      <w:bookmarkStart w:id="233" w:name="_Ref372116446"/>
      <w:r w:rsidRPr="005D10C1">
        <w:rPr>
          <w:rFonts w:ascii="Candara" w:hAnsi="Candara"/>
          <w:b w:val="0"/>
          <w:color w:val="auto"/>
        </w:rPr>
        <w:t>Ilustración</w:t>
      </w:r>
      <w:r w:rsidRPr="005D10C1">
        <w:rPr>
          <w:rFonts w:ascii="Candara" w:hAnsi="Candara"/>
          <w:color w:val="auto"/>
        </w:rPr>
        <w:t xml:space="preserve"> </w:t>
      </w:r>
      <w:r w:rsidR="003B0D24" w:rsidRPr="005D10C1">
        <w:rPr>
          <w:rFonts w:ascii="Candara" w:hAnsi="Candara"/>
          <w:b w:val="0"/>
          <w:color w:val="auto"/>
        </w:rPr>
        <w:fldChar w:fldCharType="begin"/>
      </w:r>
      <w:r w:rsidRPr="005D10C1">
        <w:rPr>
          <w:rFonts w:ascii="Candara" w:hAnsi="Candara"/>
          <w:b w:val="0"/>
          <w:color w:val="auto"/>
        </w:rPr>
        <w:instrText xml:space="preserve"> SEQ Ilustración \* ARABIC </w:instrText>
      </w:r>
      <w:r w:rsidR="003B0D24" w:rsidRPr="005D10C1">
        <w:rPr>
          <w:rFonts w:ascii="Candara" w:hAnsi="Candara"/>
          <w:b w:val="0"/>
          <w:color w:val="auto"/>
        </w:rPr>
        <w:fldChar w:fldCharType="separate"/>
      </w:r>
      <w:r w:rsidR="005D10C1">
        <w:rPr>
          <w:rFonts w:ascii="Candara" w:hAnsi="Candara"/>
          <w:b w:val="0"/>
          <w:noProof/>
          <w:color w:val="auto"/>
        </w:rPr>
        <w:t>2</w:t>
      </w:r>
      <w:r w:rsidR="003B0D24" w:rsidRPr="005D10C1">
        <w:rPr>
          <w:rFonts w:ascii="Candara" w:hAnsi="Candara"/>
          <w:b w:val="0"/>
          <w:color w:val="auto"/>
        </w:rPr>
        <w:fldChar w:fldCharType="end"/>
      </w:r>
      <w:r w:rsidRPr="005D10C1">
        <w:rPr>
          <w:rFonts w:ascii="Candara" w:hAnsi="Candara"/>
          <w:b w:val="0"/>
          <w:color w:val="auto"/>
        </w:rPr>
        <w:t>: Sistema nacional de innovación de EEUU</w:t>
      </w:r>
      <w:bookmarkEnd w:id="232"/>
      <w:r w:rsidRPr="005D10C1">
        <w:rPr>
          <w:rFonts w:ascii="Candara" w:hAnsi="Candara"/>
          <w:b w:val="0"/>
          <w:color w:val="auto"/>
        </w:rPr>
        <w:t xml:space="preserve"> </w:t>
      </w:r>
    </w:p>
    <w:bookmarkEnd w:id="233"/>
    <w:p w14:paraId="013FD044" w14:textId="77777777" w:rsidR="006C153B" w:rsidRPr="005D10C1" w:rsidRDefault="006C153B" w:rsidP="001A7A86">
      <w:pPr>
        <w:spacing w:line="360" w:lineRule="auto"/>
        <w:rPr>
          <w:rFonts w:ascii="Candara" w:hAnsi="Candara"/>
          <w:i/>
          <w:u w:val="single"/>
        </w:rPr>
      </w:pPr>
    </w:p>
    <w:p w14:paraId="08256DBD" w14:textId="77777777" w:rsidR="001A7A86" w:rsidRPr="005D10C1" w:rsidRDefault="001A7A86" w:rsidP="001A7A86">
      <w:pPr>
        <w:spacing w:line="360" w:lineRule="auto"/>
        <w:rPr>
          <w:rFonts w:ascii="Candara" w:hAnsi="Candara"/>
          <w:i/>
        </w:rPr>
      </w:pPr>
      <w:r w:rsidRPr="005D10C1">
        <w:rPr>
          <w:rFonts w:ascii="Candara" w:hAnsi="Candara"/>
          <w:i/>
          <w:u w:val="single"/>
        </w:rPr>
        <w:t>Apoyo gubernamental</w:t>
      </w:r>
      <w:r w:rsidRPr="005D10C1">
        <w:rPr>
          <w:rFonts w:ascii="Candara" w:hAnsi="Candara"/>
          <w:i/>
        </w:rPr>
        <w:t xml:space="preserve">: </w:t>
      </w:r>
    </w:p>
    <w:p w14:paraId="1EEFA582" w14:textId="77777777" w:rsidR="001A7A86" w:rsidRPr="005D10C1" w:rsidRDefault="001A7A86" w:rsidP="001A7A86">
      <w:pPr>
        <w:spacing w:line="360" w:lineRule="auto"/>
        <w:rPr>
          <w:rFonts w:ascii="Candara" w:hAnsi="Candara"/>
        </w:rPr>
      </w:pPr>
      <w:r w:rsidRPr="005D10C1">
        <w:rPr>
          <w:rFonts w:ascii="Candara" w:hAnsi="Candara"/>
        </w:rPr>
        <w:t xml:space="preserve">En EEUU se destinan un alto nivel de recursos financieros a apoyar la investigación básica y aplicada que se encuentran disponibles para los investigadores en los Fondos de financiación públicos.  </w:t>
      </w:r>
    </w:p>
    <w:p w14:paraId="6AAD33E5" w14:textId="77777777" w:rsidR="001A7A86" w:rsidRPr="005D10C1" w:rsidRDefault="001A7A86" w:rsidP="001A7A86">
      <w:pPr>
        <w:spacing w:line="360" w:lineRule="auto"/>
        <w:rPr>
          <w:rFonts w:ascii="Candara" w:hAnsi="Candara"/>
        </w:rPr>
      </w:pPr>
    </w:p>
    <w:p w14:paraId="11ACBB36" w14:textId="77777777" w:rsidR="001A7A86" w:rsidRPr="005D10C1" w:rsidRDefault="001A7A86" w:rsidP="001A7A86">
      <w:pPr>
        <w:spacing w:line="360" w:lineRule="auto"/>
        <w:rPr>
          <w:rFonts w:ascii="Candara" w:hAnsi="Candara"/>
        </w:rPr>
      </w:pPr>
      <w:r w:rsidRPr="005D10C1">
        <w:rPr>
          <w:rFonts w:ascii="Candara" w:hAnsi="Candara"/>
        </w:rPr>
        <w:t>El gasto de I+D en EEUU se encuentra relacionado en la</w:t>
      </w:r>
      <w:r w:rsidR="00F66898" w:rsidRPr="005D10C1">
        <w:rPr>
          <w:rFonts w:ascii="Candara" w:hAnsi="Candara"/>
        </w:rPr>
        <w:t xml:space="preserve"> </w:t>
      </w:r>
      <w:r w:rsidR="00A57352">
        <w:fldChar w:fldCharType="begin"/>
      </w:r>
      <w:r w:rsidR="00A57352">
        <w:instrText xml:space="preserve"> REF _Ref374621908 \h  \* MERGEFORMAT </w:instrText>
      </w:r>
      <w:r w:rsidR="00A57352">
        <w:fldChar w:fldCharType="separate"/>
      </w:r>
      <w:r w:rsidR="005D10C1" w:rsidRPr="005D10C1">
        <w:rPr>
          <w:rFonts w:ascii="Candara" w:hAnsi="Candara"/>
        </w:rPr>
        <w:t>Ilustración 3</w:t>
      </w:r>
      <w:r w:rsidR="00A57352">
        <w:fldChar w:fldCharType="end"/>
      </w:r>
      <w:r w:rsidRPr="005D10C1">
        <w:rPr>
          <w:rFonts w:ascii="Candara" w:hAnsi="Candara"/>
        </w:rPr>
        <w:t xml:space="preserve">, éste se expresa como el porcentaje del Producto Interno Bruto que se destina para que el sistema nacional de innovación opere. En los años mostrados en esta gráfica se evidencia que el gasto de I+D se ha mantenido sobre el 2,5% del PIB, siendo para 2011 de 2,77%, lo cual equivale a US$415,25 millones </w:t>
      </w:r>
      <w:r w:rsidR="003B0D24" w:rsidRPr="005D10C1">
        <w:rPr>
          <w:rFonts w:ascii="Candara" w:hAnsi="Candara" w:cstheme="minorHAnsi"/>
        </w:rPr>
        <w:fldChar w:fldCharType="begin" w:fldLock="1"/>
      </w:r>
      <w:r w:rsidR="00CA1A09" w:rsidRPr="005D10C1">
        <w:rPr>
          <w:rFonts w:ascii="Candara" w:hAnsi="Candara" w:cstheme="minorHAnsi"/>
        </w:rPr>
        <w:instrText>ADDIN CSL_CITATION { "citationItems" : [ { "id" : "ITEM-1", "itemData" : { "DOI" : "10.1787/2075843x-table1", "URL" : "http://www.oecd-ilibrary.org/science-and-technology/gross-domestic-expenditure-on-r-d_2075843x-table1", "author" : [ { "dropping-particle" : "", "family" : "OECD", "given" : "", "non-dropping-particle" : "", "parse-names" : false, "suffix" : "" } ], "container-title" : "Science and Technology", "id" : "ITEM-1", "issued" : { "date-parts" : [ [ "2013" ] ] }, "title" : "Gross domestic expenditure on R&amp;D - Science and Technology: Key Tables from OECD, No. 1", "type" : "webpage" }, "uris" : [ "http://www.mendeley.com/documents/?uuid=65f9daf4-118b-4062-ab5a-ab4e62e6bd9a" ] } ], "mendeley" : { "previouslyFormattedCitation" : "(OECD, 2013)" }, "properties" : { "noteIndex" : 0 }, "schema" : "https://github.com/citation-style-language/schema/raw/master/csl-citation.json" }</w:instrText>
      </w:r>
      <w:r w:rsidR="003B0D24" w:rsidRPr="005D10C1">
        <w:rPr>
          <w:rFonts w:ascii="Candara" w:hAnsi="Candara" w:cstheme="minorHAnsi"/>
        </w:rPr>
        <w:fldChar w:fldCharType="separate"/>
      </w:r>
      <w:r w:rsidRPr="005D10C1">
        <w:rPr>
          <w:rFonts w:ascii="Candara" w:hAnsi="Candara" w:cstheme="minorHAnsi"/>
          <w:noProof/>
        </w:rPr>
        <w:t>(OECD, 2013)</w:t>
      </w:r>
      <w:r w:rsidR="003B0D24" w:rsidRPr="005D10C1">
        <w:rPr>
          <w:rFonts w:ascii="Candara" w:hAnsi="Candara" w:cstheme="minorHAnsi"/>
        </w:rPr>
        <w:fldChar w:fldCharType="end"/>
      </w:r>
      <w:r w:rsidRPr="005D10C1">
        <w:rPr>
          <w:rFonts w:ascii="Candara" w:hAnsi="Candara"/>
        </w:rPr>
        <w:t>.</w:t>
      </w:r>
    </w:p>
    <w:p w14:paraId="2A96CEB3" w14:textId="77777777" w:rsidR="001A7A86" w:rsidRPr="005D10C1" w:rsidRDefault="001A7A86" w:rsidP="001A7A86">
      <w:pPr>
        <w:spacing w:line="360" w:lineRule="auto"/>
        <w:rPr>
          <w:rFonts w:ascii="Candara" w:hAnsi="Candara"/>
        </w:rPr>
      </w:pPr>
    </w:p>
    <w:p w14:paraId="768478D3" w14:textId="77777777" w:rsidR="001A7A86" w:rsidRPr="005D10C1" w:rsidRDefault="001A7A86" w:rsidP="001A7A86">
      <w:pPr>
        <w:spacing w:line="360" w:lineRule="auto"/>
        <w:jc w:val="center"/>
        <w:rPr>
          <w:rFonts w:ascii="Candara" w:hAnsi="Candara"/>
        </w:rPr>
      </w:pPr>
      <w:r w:rsidRPr="005D10C1">
        <w:rPr>
          <w:rFonts w:ascii="Candara" w:hAnsi="Candara"/>
          <w:noProof/>
          <w:lang w:eastAsia="es-CO"/>
        </w:rPr>
        <w:lastRenderedPageBreak/>
        <w:drawing>
          <wp:inline distT="0" distB="0" distL="0" distR="0" wp14:anchorId="7160B31B" wp14:editId="25C3F5DE">
            <wp:extent cx="4572000" cy="2743200"/>
            <wp:effectExtent l="0" t="0" r="0" b="0"/>
            <wp:docPr id="6" name="Gráfico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531C21A6" w14:textId="77777777" w:rsidR="00413AB7" w:rsidRPr="005D10C1" w:rsidRDefault="00F66898" w:rsidP="00F66898">
      <w:pPr>
        <w:pStyle w:val="Descripcin"/>
        <w:rPr>
          <w:rFonts w:ascii="Candara" w:hAnsi="Candara"/>
          <w:color w:val="auto"/>
        </w:rPr>
      </w:pPr>
      <w:bookmarkStart w:id="234" w:name="_Ref374621908"/>
      <w:bookmarkStart w:id="235" w:name="_Toc377652594"/>
      <w:bookmarkStart w:id="236" w:name="_Ref374512005"/>
      <w:bookmarkStart w:id="237" w:name="_Toc374621193"/>
      <w:r w:rsidRPr="005D10C1">
        <w:rPr>
          <w:rFonts w:ascii="Candara" w:hAnsi="Candara" w:cstheme="minorHAnsi"/>
          <w:b w:val="0"/>
          <w:noProof/>
          <w:color w:val="auto"/>
          <w:sz w:val="20"/>
        </w:rPr>
        <w:t xml:space="preserve">Ilustración </w:t>
      </w:r>
      <w:r w:rsidR="003B0D24" w:rsidRPr="005D10C1">
        <w:rPr>
          <w:rFonts w:ascii="Candara" w:hAnsi="Candara" w:cstheme="minorHAnsi"/>
          <w:b w:val="0"/>
          <w:noProof/>
          <w:color w:val="auto"/>
          <w:sz w:val="20"/>
        </w:rPr>
        <w:fldChar w:fldCharType="begin"/>
      </w:r>
      <w:r w:rsidRPr="005D10C1">
        <w:rPr>
          <w:rFonts w:ascii="Candara" w:hAnsi="Candara" w:cstheme="minorHAnsi"/>
          <w:b w:val="0"/>
          <w:noProof/>
          <w:color w:val="auto"/>
          <w:sz w:val="20"/>
        </w:rPr>
        <w:instrText xml:space="preserve"> SEQ Ilustración \* ARABIC </w:instrText>
      </w:r>
      <w:r w:rsidR="003B0D24" w:rsidRPr="005D10C1">
        <w:rPr>
          <w:rFonts w:ascii="Candara" w:hAnsi="Candara" w:cstheme="minorHAnsi"/>
          <w:b w:val="0"/>
          <w:noProof/>
          <w:color w:val="auto"/>
          <w:sz w:val="20"/>
        </w:rPr>
        <w:fldChar w:fldCharType="separate"/>
      </w:r>
      <w:r w:rsidR="005D10C1">
        <w:rPr>
          <w:rFonts w:ascii="Candara" w:hAnsi="Candara" w:cstheme="minorHAnsi"/>
          <w:b w:val="0"/>
          <w:noProof/>
          <w:color w:val="auto"/>
          <w:sz w:val="20"/>
        </w:rPr>
        <w:t>3</w:t>
      </w:r>
      <w:r w:rsidR="003B0D24" w:rsidRPr="005D10C1">
        <w:rPr>
          <w:rFonts w:ascii="Candara" w:hAnsi="Candara" w:cstheme="minorHAnsi"/>
          <w:b w:val="0"/>
          <w:noProof/>
          <w:color w:val="auto"/>
          <w:sz w:val="20"/>
        </w:rPr>
        <w:fldChar w:fldCharType="end"/>
      </w:r>
      <w:bookmarkEnd w:id="234"/>
      <w:r w:rsidRPr="005D10C1">
        <w:rPr>
          <w:rFonts w:ascii="Candara" w:hAnsi="Candara" w:cstheme="minorHAnsi"/>
          <w:b w:val="0"/>
          <w:noProof/>
          <w:color w:val="auto"/>
          <w:sz w:val="20"/>
        </w:rPr>
        <w:t>: Gasto de I+D en EEUU</w:t>
      </w:r>
      <w:bookmarkEnd w:id="235"/>
      <w:r w:rsidRPr="005D10C1">
        <w:rPr>
          <w:rFonts w:ascii="Candara" w:hAnsi="Candara" w:cstheme="minorHAnsi"/>
          <w:b w:val="0"/>
          <w:noProof/>
          <w:color w:val="auto"/>
          <w:sz w:val="20"/>
        </w:rPr>
        <w:t xml:space="preserve"> </w:t>
      </w:r>
      <w:r w:rsidRPr="005D10C1">
        <w:rPr>
          <w:rFonts w:ascii="Candara" w:hAnsi="Candara"/>
          <w:color w:val="auto"/>
        </w:rPr>
        <w:t xml:space="preserve"> </w:t>
      </w:r>
      <w:bookmarkEnd w:id="236"/>
      <w:bookmarkEnd w:id="237"/>
    </w:p>
    <w:p w14:paraId="7943C5D4" w14:textId="77777777" w:rsidR="004F0A8B" w:rsidRPr="005D10C1" w:rsidRDefault="004F0A8B" w:rsidP="002B4E45">
      <w:pPr>
        <w:spacing w:line="360" w:lineRule="auto"/>
        <w:rPr>
          <w:rFonts w:ascii="Candara" w:hAnsi="Candara"/>
        </w:rPr>
      </w:pPr>
    </w:p>
    <w:p w14:paraId="38093EC4" w14:textId="77777777" w:rsidR="00C815FD" w:rsidRPr="005D10C1" w:rsidRDefault="00964F0E">
      <w:pPr>
        <w:pStyle w:val="Ttulo3"/>
        <w:rPr>
          <w:rFonts w:ascii="Candara" w:hAnsi="Candara"/>
          <w:color w:val="auto"/>
        </w:rPr>
      </w:pPr>
      <w:bookmarkStart w:id="238" w:name="_Toc377653146"/>
      <w:r w:rsidRPr="005D10C1">
        <w:rPr>
          <w:rFonts w:ascii="Candara" w:hAnsi="Candara"/>
          <w:color w:val="auto"/>
        </w:rPr>
        <w:t xml:space="preserve">Políticas y </w:t>
      </w:r>
      <w:r w:rsidR="00787549" w:rsidRPr="005D10C1">
        <w:rPr>
          <w:rFonts w:ascii="Candara" w:hAnsi="Candara"/>
          <w:color w:val="auto"/>
        </w:rPr>
        <w:t>normas asociadas</w:t>
      </w:r>
      <w:r w:rsidR="009714C8" w:rsidRPr="005D10C1">
        <w:rPr>
          <w:rFonts w:ascii="Candara" w:hAnsi="Candara"/>
          <w:color w:val="auto"/>
        </w:rPr>
        <w:t xml:space="preserve"> a la creación de spin-off</w:t>
      </w:r>
      <w:bookmarkEnd w:id="238"/>
    </w:p>
    <w:p w14:paraId="55B9BCA5" w14:textId="77777777" w:rsidR="00964F0E" w:rsidRPr="005D10C1" w:rsidRDefault="00964F0E" w:rsidP="002B4E45">
      <w:pPr>
        <w:spacing w:line="360" w:lineRule="auto"/>
        <w:rPr>
          <w:rFonts w:ascii="Candara" w:hAnsi="Candara"/>
        </w:rPr>
      </w:pPr>
    </w:p>
    <w:p w14:paraId="5186DECE" w14:textId="77777777" w:rsidR="00C03722" w:rsidRPr="005D10C1" w:rsidRDefault="00C03722" w:rsidP="002B4E45">
      <w:pPr>
        <w:spacing w:line="360" w:lineRule="auto"/>
        <w:rPr>
          <w:rFonts w:ascii="Candara" w:hAnsi="Candara"/>
          <w:i/>
        </w:rPr>
      </w:pPr>
      <w:r w:rsidRPr="005D10C1">
        <w:rPr>
          <w:rFonts w:ascii="Candara" w:hAnsi="Candara"/>
          <w:i/>
        </w:rPr>
        <w:t>Leyes</w:t>
      </w:r>
    </w:p>
    <w:p w14:paraId="3E1E6F03" w14:textId="77777777" w:rsidR="006C153B" w:rsidRPr="005D10C1" w:rsidRDefault="006C153B" w:rsidP="006C153B">
      <w:pPr>
        <w:spacing w:line="360" w:lineRule="auto"/>
        <w:rPr>
          <w:rFonts w:ascii="Candara" w:hAnsi="Candara"/>
        </w:rPr>
      </w:pPr>
      <w:r w:rsidRPr="005D10C1">
        <w:rPr>
          <w:rFonts w:ascii="Candara" w:hAnsi="Candara"/>
        </w:rPr>
        <w:t xml:space="preserve">Si bien los aspectos del sistema de innovación señalados en el apartado anterior generan un entorno favorable para el surgimiento de emprendimientos de tipo spin-off, es necesario resaltar las políticas públicas que se han orientado específicamente hacia este tipo de organizaciones y que se han generado, en algunas oportunidades, para para responder a la capacidad de las universidades estadounidenses para generar empresas tecnológicas de alto crecimiento desde </w:t>
      </w:r>
      <w:r w:rsidRPr="005D10C1">
        <w:rPr>
          <w:rFonts w:ascii="Candara" w:hAnsi="Candara"/>
          <w:i/>
        </w:rPr>
        <w:t>Genentech</w:t>
      </w:r>
      <w:r w:rsidRPr="005D10C1">
        <w:rPr>
          <w:rFonts w:ascii="Candara" w:hAnsi="Candara"/>
        </w:rPr>
        <w:t xml:space="preserve"> a </w:t>
      </w:r>
      <w:r w:rsidRPr="005D10C1">
        <w:rPr>
          <w:rFonts w:ascii="Candara" w:hAnsi="Candara"/>
          <w:i/>
        </w:rPr>
        <w:t xml:space="preserve">Google </w:t>
      </w:r>
      <w:r w:rsidR="003B0D24" w:rsidRPr="005D10C1">
        <w:rPr>
          <w:rFonts w:ascii="Candara" w:hAnsi="Candara"/>
        </w:rPr>
        <w:fldChar w:fldCharType="begin" w:fldLock="1"/>
      </w:r>
      <w:r w:rsidRPr="005D10C1">
        <w:rPr>
          <w:rFonts w:ascii="Candara" w:hAnsi="Candara"/>
        </w:rPr>
        <w:instrText>ADDIN CSL_CITATION { "citationItems" : [ { "id" : "ITEM-1", "itemData" : { "author" : [ { "dropping-particle" : "", "family" : "Mustar", "given" : "P.", "non-dropping-particle" : "", "parse-names" : false, "suffix" : "" }, { "dropping-particle" : "", "family" : "Wright", "given" : "M.", "non-dropping-particle" : "", "parse-names" : false, "suffix" : "" }, { "dropping-particle" : "", "family" : "Clarysse", "given" : "B.", "non-dropping-particle" : "", "parse-names" : false, "suffix" : "" } ], "container-title" : "Science and Public Policy", "id" : "ITEM-1", "issue" : "2", "issued" : { "date-parts" : [ [ "2008" ] ] }, "note" : "References: (2003) Quels mod\u00c3\u00a8les de d\u00c3\u00a9veloppement pour les enterprises issues de la recherche. Propositions du Groupe de Travail anim\u00c3\u00a9 par Ph, , CaplnTech, Mustar;Clarysse, B., (2004) Eendagsvlieg of pioneer: Welke ondememer redt de economie, , Leuven: Garant;Clarysse, B., Moray, N., A process study of entrepreneurial team formation : The case of research-based spin-offs (2004) Journal of Business Venturing, 19, pp. 55-79;Clarysse, B., Wright, M., Lockett, A., van de Velde, E., Vohora, A., Spinning out new ventures: A typology of incubation strategies from European research institutions (2005) Journal of Business Venturing, 20 (2), pp. 183-216;Clarysse, B., Wright, M., Lockett, A., Mustar, P., Knockaert, M., Academic spin-offs, formal technology transfer and capital raising (2007) Industrial and Corporate Change;Clarysse, B., Wright, M., Lockett, A., Muster, P., Knockaert, M., Academic spin-offs, formal technology transfer and capital raising (2007) Industrial and Corporate Change, 16 (4), pp. 609-640;Cohen, W.M., Levinthal, D.A., Innovation and learning: The two faces of R&amp;D (1989) Economic Journal, 99 (397), pp. 569-596;DiMaggio, P.J., Powell, W., The iron cage revisited' institutional isomorphism and collective rationality in organizational fields (1983) American Sociological Review, 48, pp. 147-160;Direction de la technologie 2006. Innovation et recherche technologique, \u00c3\u2030tat de la situation et bilan au 31 d\u00c3\u00a9cembre 2005. Minist\u00c3\u00a8re d\u00c3\u00a9l\u00c3\u00a9gu\u00c3\u00a9 \u00c3  l'Enseignement sup\u00c3\u00a9rieur et \u00c3  la Recherche, ParisDruilhe, C., Garnsey, E., Do academic spin-outs differ and does it matter? (2004) Journal of Technology Transfer, 29 (3-4), pp. 269-285;Etzkowitz, H., Research groups as 'quasi-firms': The invention of the entrepreneurial university (2003) Research Policy, 32 (1), pp. 109-121;Forbes, D, P Borchert, M Zellmer-Bruhn, M. and H Sapienza 2006. Entrepreneurial team formation: An exploration of new member addition. Entrepreneurship Theory and Practice, 30, 225-248Franklin, A., Wright, M., Lockett, A., Academic and surrogate entrepreneurs in university spin-outs (2001) Journal of Technology Transfer, 26, pp. 127-141;Gans, J.S., Stem, S., The product market and the market for ideas: Commercialization strategies for technology entrepreneurs (2003) Research Policy, 32 (2), pp. 333-350;Heirman, A., Clarysse, B., How and why do research-based start-ups differ at founding? A resource-based configurational perspective (2004) Journal of Technology Transfer, 29, pp. 247-268;Heirman, A., Clarysse, B., Do intangible assets and prefounding R&amp;D matter for innovation speed in start-ups (2006) Journal of Product Innovation Management, , forthcoming;Heirman, A., Clarysse, B., Which tangible and intangible assets matter for innovation speed in start-ups? (2007) Journal of Product Innovation Management, 24, pp. 303-315;Hellman, T., Puri, M., The interaction between product market and financing strategy: The role of venture capital (2000) Review of Financial Studies, 13, pp. 959-984;Treasury, H.M., (2004) Science and innovation investment framework 2004-2014, , HMTreasury/dti/department for education and skills;(2001) Research and Innovation Policies in the New Global Economy, An International Compative Analysis, , Lar\u00c3\u00a9do, P and P Mustar eds, Cheltenham, UK: Edward Elgar;Lar\u00c3\u00a9do, P., Six major challenges facing public intervention in higher education, science, technology and innovation (2003) Science and Public Policy, 30 (1), pp. 4-12;Lockett, A., Murray, G., Wright, M., Do UK venture capitalists still have a bias against investment in new technology firms? (2002) Research Policy, 31, pp. 1009-1030;Lockett, A., Siegel, D.S., Wright, M., Ensley, M., The creation of spin-off firms at public research institutions: Managerial and policy implications (2005) Research Policy, 34, pp. 981-993;Lowe, R., Gonzalez-Brambila, C., Faculty entrepreneurs and research productivity: A first look (2007) Journal of Technology Transfer, 32 (3), pp. 173-194;Moray, N., Clarysse, B., Institutional change and resource endowments to science-based entrepreneurial firms (2005) Research Policy, 34 (7), pp. 1010-1027;Mosey, S., Wright, M., From human capital to social capital: A longitudinal study of technology-based academic entrepreneurs (2007) Entrepreneurship Theory and Practice, 31 (6), pp. 909-935;Mosey, S., Lockett, A., Westhead, P., The importance of bridging networks for university technology transfer: A case study of the Medici fellowship scheme (2006) Technology Analysis and Strategic Management, 18 (1), pp. 71-91;Mowery, D.C., The United States national innovation system after the cold war (2001) Research and Innovation Policies in the New Global Economy. An International Comparative Analysis, pp. 15-46. , P Lar\u00c3\u00a9do and P Mustar eds, Cheltenham, UK: Edward Elgar;Mustar, P., Spin-off enterprises: How French academies create hi-tech companies: The condition for success or failure (1997) Science and Public Policy, 24 (1), pp. 37-43;Mustar, P., Partnerships, configurations and dynamics in the creation and development of SMEs by researchers (1998) Industry and Higher Education, pp. 217-221. , August;Mustar P 1999. Financements at partenariats des entreprises cr\u00c3\u00a9\u00c3\u00a9es par les chercheurs. CSI-Ecole des Mines, Rapport pour la Direction de la technologie, Minist\u00c3\u00a8re de L'Education Nationale de la Recherche et de la TechnologieMustar, P., Public support for the spin-off companies from higher educations and research institution (2002) STRATA Conference, , Paper presented at, Brussels, Belgium, 22-23 April;Mustar, P., The creation of university spin-off firms. An European comparison: France and the United Kingdom (2006) Technology Transfer Society Conference, , Paper presented at the, Georgia Tech, Atlanta, GA, USA, 27-29 September;Mustar, P., Renault, M., Colombo, M., Piva, E., Fontes, M., Lockett, A., Wright, M., Moray, N., Conceptualising the heterogeneity of research-based spin-offs: A multi-dimensional taxonomy (2006) Research Policy, 35 (2), pp. 289-308;Nicolaou, N., Birley, S., Social networks in organizational emergence: The university spin-out phenomenon (2003) Management Science, 49 (12), pp. 1702-1725;(2003) Turning Science into Business, Patenting and Licensing at Public Research Organisations, , OECD, Paris: OECD;Phan, P., Siegel, D., Wright, M., Science parks and incubators: Observations, synthesis and future research (2005) Journal of Business Venturing, 20 (2), pp. 165-182;Roberts, E.B., (1991) Entrepreneurs in High Technology, , New York: Oxford University Press;Rothaermel, F.T., Agung, S.D., Jiang, L., University entrepreneurship: A taxonomy of the literature (2007) Industrial and Corporate Change, 16, pp. 691-791;Siegel, D., Veugelers, R., Wright, M., Technology transfer offices and commercialization of university intellectual property: Performance and policy implications (2007) Oxford Review of Economic Policy, 23 (4), pp. 640-660;Shane, S., Stuart, T., Organizational endowments and the performance of university start-ups (2002) Management Science, 48 (1), pp. 154-170;(2005) Interim evaluation of knowledge transfer programmes funded by the Office of Science and Technology through the science budget, , SQW, Cambridge, UK: SQW;Vanaelst, I., Clarysse, B., Wright, M., Lockett, A., Moray, N., S'Jegers, R., Entrepreneurial team development in academic spin-outs: An examination of team heterogeneity (2006) Entrepreneurship Theory and Practice, 30, pp. 249-272;Van Looy, B., Ranga, L.M., Callaert, J., Debackere, K., Zimmermann, E., Combining entrepreneurial and scientific performance in academia: Towards a compounded and reciprocal Matthew effect? (2004) Research Policy, 33 (3), pp. 425-441;Vohora, A., Wright, M., Lockett, A., Critical junctures in the growth in university high-tech spinout companies (2004) Research Policy, 33, pp. 147-175;Wright, M, M Binks, A Vohora and A Lockett 2003. UK Technology Transfer Survey. Financial Year 2002. Nottingham University Business School/ Universities Companies Association/Association of University Research and Industrial Liaison Officers, Nottingham, UKWright, M., Clarysse, B., Mustar, P., Lockett, A., (2007) Academic Entrepreneurship in Europe, , Cheltenham, UK: Edward Elgar;Wright, M., Clarysse, B., Lockett, A., Binks, M., University spin-out companies and venture capital (2006) Research Policy, 35 (4), pp. 481-501;Wright, M., Lockett, A., Mosey, S., Piva, E., Academic entrepreneurship and the challenges for business schools (2006) Occasional paper, , Centre for Management Buy-out Research, Nottingham University Business School, Nottingham, UK;Wright, M., Birley, S., Mosey, S., Entrepreneurship and university technology transfer (2004) Journal of Technology Transfer, 29 (3-4), pp. 235-246;Wright, M., Vohora, A., Lockett, A., The formation of hightech university spinouts: The role of joint ventures and venture capital investors (2004) Journal of Technology Transfer, 29, pp. 287-310;Wright, M., Clarysse, B., Mustar, B.P., Lockett, A., (2007) Academic Entrepreneurship in Europe, , Cheltenham, UK: Edward Elgar;Zahra, S., George, G., Absoptive capacity: A review, reconceptualization and extension (2002) Academy of Management Review, 27, pp. 185-203\n----------\nThis paper advances our understanding of university spin-off creation and development in environments outside the high-tech cluster of the USA. It adopts a multi-level approach in its examination of this phenomenon in diverse institutional environments. In particular, units of analysis involving universities, technology transfer offices, spin-off firms, finance providers and individual entrepreneurs and teams are analysed. Policy implications are analysed and recommendations are proposed for current policy on university spin-offs. \u00c2\u00a9 Beech Tree Publishing 2008.\n----------\nCited By (since 1996): 2\n----------\nSource: Scopus\n----------\nExport Date: 18 March 2011", "page" : "67-80", "title" : "University spin-off firms: Lessons from ten years of experience in Europe", "type" : "article-journal", "volume" : "35" }, "uris" : [ "http://www.mendeley.com/documents/?uuid=d71f28fe-81cc-442b-b0f2-2a55d02fcc03" ] } ], "mendeley" : { "previouslyFormattedCitation" : "(Mustar, Wright, &amp; Clarysse, 2008)" }, "properties" : { "noteIndex" : 0 }, "schema" : "https://github.com/citation-style-language/schema/raw/master/csl-citation.json" }</w:instrText>
      </w:r>
      <w:r w:rsidR="003B0D24" w:rsidRPr="005D10C1">
        <w:rPr>
          <w:rFonts w:ascii="Candara" w:hAnsi="Candara"/>
        </w:rPr>
        <w:fldChar w:fldCharType="separate"/>
      </w:r>
      <w:r w:rsidRPr="005D10C1">
        <w:rPr>
          <w:rFonts w:ascii="Candara" w:hAnsi="Candara"/>
          <w:noProof/>
        </w:rPr>
        <w:t>(Mustar, Wright, &amp; Clarysse, 2008)</w:t>
      </w:r>
      <w:r w:rsidR="003B0D24" w:rsidRPr="005D10C1">
        <w:rPr>
          <w:rFonts w:ascii="Candara" w:hAnsi="Candara"/>
        </w:rPr>
        <w:fldChar w:fldCharType="end"/>
      </w:r>
      <w:r w:rsidRPr="005D10C1">
        <w:rPr>
          <w:rFonts w:ascii="Candara" w:hAnsi="Candara"/>
        </w:rPr>
        <w:t>.</w:t>
      </w:r>
    </w:p>
    <w:p w14:paraId="30958854" w14:textId="77777777" w:rsidR="006C153B" w:rsidRPr="005D10C1" w:rsidRDefault="006C153B" w:rsidP="006C153B">
      <w:pPr>
        <w:spacing w:line="360" w:lineRule="auto"/>
        <w:rPr>
          <w:rFonts w:ascii="Candara" w:hAnsi="Candara"/>
        </w:rPr>
      </w:pPr>
    </w:p>
    <w:p w14:paraId="739BC7DE" w14:textId="77777777" w:rsidR="006C153B" w:rsidRPr="005D10C1" w:rsidRDefault="006C153B" w:rsidP="006C153B">
      <w:pPr>
        <w:spacing w:line="360" w:lineRule="auto"/>
        <w:rPr>
          <w:rFonts w:ascii="Candara" w:hAnsi="Candara"/>
        </w:rPr>
      </w:pPr>
      <w:r w:rsidRPr="005D10C1">
        <w:rPr>
          <w:rFonts w:ascii="Candara" w:hAnsi="Candara"/>
        </w:rPr>
        <w:t xml:space="preserve">Iniciativas legislativas, como la </w:t>
      </w:r>
      <w:r w:rsidRPr="005D10C1">
        <w:rPr>
          <w:rFonts w:ascii="Candara" w:hAnsi="Candara"/>
          <w:i/>
        </w:rPr>
        <w:t>Bayh-Dole Act</w:t>
      </w:r>
      <w:r w:rsidRPr="005D10C1">
        <w:rPr>
          <w:rFonts w:ascii="Candara" w:hAnsi="Candara"/>
        </w:rPr>
        <w:t xml:space="preserve"> de 1980 que ha ayudado a acelerar la velocidad de difusión de las nuevas tecnologías de las universidades y los laboratorios federales a las empresas. Dentro de las legislaciones de los EE.UU. adicionales que fueron diseñadas para promover la investigación colaborativa y la más rápida tasa de </w:t>
      </w:r>
      <w:r w:rsidRPr="005D10C1">
        <w:rPr>
          <w:rFonts w:ascii="Candara" w:hAnsi="Candara"/>
        </w:rPr>
        <w:lastRenderedPageBreak/>
        <w:t xml:space="preserve">transferencia de tecnología universidad-industria se incluye en 1982 la </w:t>
      </w:r>
      <w:r w:rsidRPr="005D10C1">
        <w:rPr>
          <w:rFonts w:ascii="Candara" w:hAnsi="Candara"/>
          <w:i/>
        </w:rPr>
        <w:t>Small Business Innovation Development Act</w:t>
      </w:r>
      <w:r w:rsidRPr="005D10C1">
        <w:rPr>
          <w:rFonts w:ascii="Candara" w:hAnsi="Candara"/>
        </w:rPr>
        <w:t xml:space="preserve">(que permitió establecer el </w:t>
      </w:r>
      <w:r w:rsidRPr="005D10C1">
        <w:rPr>
          <w:rFonts w:ascii="Candara" w:hAnsi="Candara"/>
          <w:i/>
        </w:rPr>
        <w:t>Small Business Innovation Research-SBIR</w:t>
      </w:r>
      <w:r w:rsidRPr="005D10C1">
        <w:rPr>
          <w:rFonts w:ascii="Candara" w:hAnsi="Candara"/>
        </w:rPr>
        <w:t xml:space="preserve">), en 1984 la </w:t>
      </w:r>
      <w:r w:rsidRPr="005D10C1">
        <w:rPr>
          <w:rFonts w:ascii="Candara" w:hAnsi="Candara"/>
          <w:i/>
        </w:rPr>
        <w:t>National Cooperative Research Act</w:t>
      </w:r>
      <w:r w:rsidRPr="005D10C1">
        <w:rPr>
          <w:rFonts w:ascii="Candara" w:hAnsi="Candara"/>
        </w:rPr>
        <w:t xml:space="preserve"> (elevó las preocupaciones antimonopolio en materia de investigación en colaboración) y en 1992 la </w:t>
      </w:r>
      <w:r w:rsidRPr="005D10C1">
        <w:rPr>
          <w:rFonts w:ascii="Candara" w:hAnsi="Candara"/>
          <w:i/>
        </w:rPr>
        <w:t xml:space="preserve">Small Business Technology Transfer Act </w:t>
      </w:r>
      <w:r w:rsidRPr="005D10C1">
        <w:rPr>
          <w:rFonts w:ascii="Candara" w:hAnsi="Candara"/>
        </w:rPr>
        <w:t xml:space="preserve">(que estableció el programa de investigación y Transferencia de Tecnología de la Pequeña Empresa) </w:t>
      </w:r>
      <w:r w:rsidR="003B0D24" w:rsidRPr="005D10C1">
        <w:rPr>
          <w:rFonts w:ascii="Candara" w:hAnsi="Candara"/>
        </w:rPr>
        <w:fldChar w:fldCharType="begin" w:fldLock="1"/>
      </w:r>
      <w:r w:rsidRPr="005D10C1">
        <w:rPr>
          <w:rFonts w:ascii="Candara" w:hAnsi="Candara"/>
        </w:rPr>
        <w:instrText>ADDIN CSL_CITATION { "citationItems" : [ { "id" : "ITEM-1", "itemData" : { "DOI" : "10.1016/j.respol.2005.05.010", "ISSN" : "00487333", "author" : [ { "dropping-particle" : "", "family" : "Lockett", "given" : "Andy", "non-dropping-particle" : "", "parse-names" : false, "suffix" : "" }, { "dropping-particle" : "", "family" : "Siegel", "given" : "Donald", "non-dropping-particle" : "", "parse-names" : false, "suffix" : "" }, { "dropping-particle" : "", "family" : "Wright", "given" : "Mike", "non-dropping-particle" : "", "parse-names" : false, "suffix" : "" }, { "dropping-particle" : "", "family" : "Ensley", "given" : "Michael D.", "non-dropping-particle" : "", "parse-names" : false, "suffix" : "" } ], "container-title" : "Research Policy", "id" : "ITEM-1", "issue" : "7", "issued" : { "date-parts" : [ [ "2005", "9" ] ] }, "page" : "981-993", "title" : "The creation of spin-off firms at public research institutions: Managerial and policy implications", "type" : "article-journal", "volume" : "34" }, "uris" : [ "http://www.mendeley.com/documents/?uuid=97e209d1-5f66-49bd-a746-fc55e4e27f04" ] } ], "mendeley" : { "previouslyFormattedCitation" : "(Lockett, Siegel, Wright, &amp; Ensley, 2005b)" }, "properties" : { "noteIndex" : 0 }, "schema" : "https://github.com/citation-style-language/schema/raw/master/csl-citation.json" }</w:instrText>
      </w:r>
      <w:r w:rsidR="003B0D24" w:rsidRPr="005D10C1">
        <w:rPr>
          <w:rFonts w:ascii="Candara" w:hAnsi="Candara"/>
        </w:rPr>
        <w:fldChar w:fldCharType="separate"/>
      </w:r>
      <w:r w:rsidRPr="005D10C1">
        <w:rPr>
          <w:rFonts w:ascii="Candara" w:hAnsi="Candara"/>
          <w:noProof/>
        </w:rPr>
        <w:t>(Lockett, Siegel, Wright, &amp; Ensley, 2005b)</w:t>
      </w:r>
      <w:r w:rsidR="003B0D24" w:rsidRPr="005D10C1">
        <w:rPr>
          <w:rFonts w:ascii="Candara" w:hAnsi="Candara"/>
        </w:rPr>
        <w:fldChar w:fldCharType="end"/>
      </w:r>
      <w:r w:rsidRPr="005D10C1">
        <w:rPr>
          <w:rFonts w:ascii="Candara" w:hAnsi="Candara"/>
        </w:rPr>
        <w:t>.</w:t>
      </w:r>
    </w:p>
    <w:p w14:paraId="3A4F892F" w14:textId="77777777" w:rsidR="002B4E45" w:rsidRPr="005D10C1" w:rsidRDefault="002B4E45" w:rsidP="002B4E45">
      <w:pPr>
        <w:spacing w:line="360" w:lineRule="auto"/>
        <w:rPr>
          <w:rFonts w:ascii="Candara" w:hAnsi="Candara"/>
        </w:rPr>
      </w:pPr>
    </w:p>
    <w:p w14:paraId="184E9B88" w14:textId="77777777" w:rsidR="002B4E45" w:rsidRPr="005D10C1" w:rsidRDefault="002B4E45" w:rsidP="002B4E45">
      <w:pPr>
        <w:spacing w:line="360" w:lineRule="auto"/>
        <w:rPr>
          <w:rFonts w:ascii="Candara" w:hAnsi="Candara"/>
        </w:rPr>
      </w:pPr>
      <w:r w:rsidRPr="005D10C1">
        <w:rPr>
          <w:rFonts w:ascii="Candara" w:hAnsi="Candara"/>
        </w:rPr>
        <w:t xml:space="preserve">Retomando a la </w:t>
      </w:r>
      <w:r w:rsidRPr="005D10C1">
        <w:rPr>
          <w:rFonts w:ascii="Candara" w:hAnsi="Candara"/>
          <w:i/>
        </w:rPr>
        <w:t>Bayh-Dole</w:t>
      </w:r>
      <w:r w:rsidR="00DB6845" w:rsidRPr="005D10C1">
        <w:rPr>
          <w:rFonts w:ascii="Candara" w:hAnsi="Candara"/>
          <w:i/>
        </w:rPr>
        <w:t xml:space="preserve"> Act</w:t>
      </w:r>
      <w:r w:rsidRPr="005D10C1">
        <w:rPr>
          <w:rFonts w:ascii="Candara" w:hAnsi="Candara"/>
          <w:i/>
        </w:rPr>
        <w:t>,</w:t>
      </w:r>
      <w:r w:rsidRPr="005D10C1">
        <w:rPr>
          <w:rFonts w:ascii="Candara" w:hAnsi="Candara"/>
        </w:rPr>
        <w:t xml:space="preserve"> ésta se ha constituido como la más importante para el desarrollo de las </w:t>
      </w:r>
      <w:r w:rsidRPr="005D10C1">
        <w:rPr>
          <w:rFonts w:ascii="Candara" w:hAnsi="Candara"/>
          <w:i/>
        </w:rPr>
        <w:t>spin-offs</w:t>
      </w:r>
      <w:r w:rsidR="00314FD7" w:rsidRPr="005D10C1">
        <w:rPr>
          <w:rFonts w:ascii="Candara" w:hAnsi="Candara"/>
        </w:rPr>
        <w:t xml:space="preserve"> en Estados Unidos</w:t>
      </w:r>
      <w:r w:rsidRPr="005D10C1">
        <w:rPr>
          <w:rFonts w:ascii="Candara" w:hAnsi="Candara"/>
        </w:rPr>
        <w:t xml:space="preserve"> pues ha generado un aumento del número de patentes, así como de infraestructuras para la comercialización y la transferencia de tecnología, como son las oficinas de licenciamiento</w:t>
      </w:r>
      <w:r w:rsidR="00DB6845" w:rsidRPr="005D10C1">
        <w:rPr>
          <w:rFonts w:ascii="Candara" w:hAnsi="Candara"/>
        </w:rPr>
        <w:t xml:space="preserve"> </w:t>
      </w:r>
      <w:r w:rsidR="003B0D24" w:rsidRPr="005D10C1">
        <w:rPr>
          <w:rFonts w:ascii="Candara" w:hAnsi="Candara"/>
        </w:rPr>
        <w:fldChar w:fldCharType="begin" w:fldLock="1"/>
      </w:r>
      <w:r w:rsidR="00CA1A09" w:rsidRPr="005D10C1">
        <w:rPr>
          <w:rFonts w:ascii="Candara" w:hAnsi="Candara"/>
        </w:rPr>
        <w:instrText>ADDIN CSL_CITATION { "citationItems" : [ { "id" : "ITEM-1", "itemData" : { "author" : [ { "dropping-particle" : "", "family" : "Congress96th", "given" : "", "non-dropping-particle" : "", "parse-names" : false, "suffix" : "" } ], "id" : "ITEM-1", "issued" : { "date-parts" : [ [ "1980" ] ] }, "title" : "Trademark Law Amendments Act", "type" : "article" }, "uris" : [ "http://www.mendeley.com/documents/?uuid=38ff96a9-4a26-4d95-b770-de5d60ba3910" ] } ], "mendeley" : { "previouslyFormattedCitation" : "(Congress96th, 1980)" }, "properties" : { "noteIndex" : 0 }, "schema" : "https://github.com/citation-style-language/schema/raw/master/csl-citation.json" }</w:instrText>
      </w:r>
      <w:r w:rsidR="003B0D24" w:rsidRPr="005D10C1">
        <w:rPr>
          <w:rFonts w:ascii="Candara" w:hAnsi="Candara"/>
        </w:rPr>
        <w:fldChar w:fldCharType="separate"/>
      </w:r>
      <w:r w:rsidR="00D53401" w:rsidRPr="005D10C1">
        <w:rPr>
          <w:rFonts w:ascii="Candara" w:hAnsi="Candara"/>
          <w:noProof/>
        </w:rPr>
        <w:t>(Congress96th, 1980)</w:t>
      </w:r>
      <w:r w:rsidR="003B0D24" w:rsidRPr="005D10C1">
        <w:rPr>
          <w:rFonts w:ascii="Candara" w:hAnsi="Candara"/>
        </w:rPr>
        <w:fldChar w:fldCharType="end"/>
      </w:r>
      <w:r w:rsidRPr="005D10C1">
        <w:rPr>
          <w:rFonts w:ascii="Candara" w:hAnsi="Candara"/>
        </w:rPr>
        <w:t xml:space="preserve">. Cuando se promulgó se crearon nuevos mecanismos para el fomento de las </w:t>
      </w:r>
      <w:r w:rsidRPr="005D10C1">
        <w:rPr>
          <w:rFonts w:ascii="Candara" w:hAnsi="Candara"/>
          <w:i/>
        </w:rPr>
        <w:t>spin-offs</w:t>
      </w:r>
      <w:r w:rsidRPr="005D10C1">
        <w:rPr>
          <w:rFonts w:ascii="Candara" w:hAnsi="Candara"/>
        </w:rPr>
        <w:t xml:space="preserve"> universitarias, tales como incubadoras de empresas, parques científicos, planes de inversión de capital riesgo en nuevas empresas y programas para ayudar a profesores y alumnos a explotar la tecnología de la universidad. </w:t>
      </w:r>
    </w:p>
    <w:p w14:paraId="1AB16083" w14:textId="77777777" w:rsidR="003B25CE" w:rsidRPr="005D10C1" w:rsidRDefault="003B25CE" w:rsidP="00F06A9D">
      <w:pPr>
        <w:spacing w:line="360" w:lineRule="auto"/>
        <w:rPr>
          <w:rFonts w:ascii="Candara" w:hAnsi="Candara"/>
          <w:highlight w:val="green"/>
        </w:rPr>
      </w:pPr>
    </w:p>
    <w:p w14:paraId="21D04C98" w14:textId="77777777" w:rsidR="00C03722" w:rsidRPr="005D10C1" w:rsidRDefault="00C03722" w:rsidP="00F06A9D">
      <w:pPr>
        <w:spacing w:line="360" w:lineRule="auto"/>
        <w:rPr>
          <w:rFonts w:ascii="Candara" w:hAnsi="Candara"/>
          <w:i/>
        </w:rPr>
      </w:pPr>
      <w:r w:rsidRPr="005D10C1">
        <w:rPr>
          <w:rFonts w:ascii="Candara" w:hAnsi="Candara"/>
          <w:i/>
        </w:rPr>
        <w:t>Programas de financiamiento de spin-off</w:t>
      </w:r>
    </w:p>
    <w:p w14:paraId="4F17363D" w14:textId="77777777" w:rsidR="00AA598A" w:rsidRPr="005D10C1" w:rsidRDefault="00AA598A" w:rsidP="00F06A9D">
      <w:pPr>
        <w:spacing w:line="360" w:lineRule="auto"/>
        <w:rPr>
          <w:rFonts w:ascii="Candara" w:hAnsi="Candara"/>
        </w:rPr>
      </w:pPr>
    </w:p>
    <w:p w14:paraId="4888A5E4" w14:textId="77777777" w:rsidR="00CA6CB6" w:rsidRPr="005D10C1" w:rsidRDefault="00CA6CB6" w:rsidP="00CA6CB6">
      <w:pPr>
        <w:spacing w:line="360" w:lineRule="auto"/>
        <w:rPr>
          <w:rFonts w:ascii="Candara" w:hAnsi="Candara"/>
        </w:rPr>
      </w:pPr>
      <w:r w:rsidRPr="005D10C1">
        <w:rPr>
          <w:rFonts w:ascii="Candara" w:hAnsi="Candara"/>
        </w:rPr>
        <w:t xml:space="preserve">Los últimos 30 años de la historia estadounidense han sido testigos de un aumento en la disponibilidad de capital de riesgo y financiación de inversionistas ángeles, que son fuente de financiación externa de </w:t>
      </w:r>
      <w:r w:rsidRPr="005D10C1">
        <w:rPr>
          <w:rFonts w:ascii="Candara" w:hAnsi="Candara"/>
          <w:i/>
        </w:rPr>
        <w:t xml:space="preserve">spin-offs </w:t>
      </w:r>
      <w:r w:rsidRPr="005D10C1">
        <w:rPr>
          <w:rFonts w:ascii="Candara" w:hAnsi="Candara"/>
        </w:rPr>
        <w:t xml:space="preserve">que antes no existía </w:t>
      </w:r>
      <w:r w:rsidR="003B0D24" w:rsidRPr="005D10C1">
        <w:rPr>
          <w:rFonts w:ascii="Candara" w:hAnsi="Candara"/>
        </w:rPr>
        <w:fldChar w:fldCharType="begin" w:fldLock="1"/>
      </w:r>
      <w:r w:rsidRPr="005D10C1">
        <w:rPr>
          <w:rFonts w:ascii="Candara" w:hAnsi="Candara"/>
        </w:rPr>
        <w:instrText>ADDIN CSL_CITATION { "citationItems" : [ { "id" : "ITEM-1", "itemData" : { "author" : [ { "dropping-particle" : "", "family" : "Gompers", "given" : "PPA", "non-dropping-particle" : "", "parse-names" : false, "suffix" : "" }, { "dropping-particle" : "", "family" : "Lerner", "given" : "J", "non-dropping-particle" : "", "parse-names" : false, "suffix" : "" } ], "id" : "ITEM-1", "issued" : { "date-parts" : [ [ "2004" ] ] }, "title" : "The venture capital cycle", "type" : "book" }, "uris" : [ "http://www.mendeley.com/documents/?uuid=769ef18c-4d6c-4774-b19f-8ebe7e37fde1" ] } ], "mendeley" : { "previouslyFormattedCitation" : "(Gompers &amp; Lerner, 2004)" }, "properties" : { "noteIndex" : 0 }, "schema" : "https://github.com/citation-style-language/schema/raw/master/csl-citation.json" }</w:instrText>
      </w:r>
      <w:r w:rsidR="003B0D24" w:rsidRPr="005D10C1">
        <w:rPr>
          <w:rFonts w:ascii="Candara" w:hAnsi="Candara"/>
        </w:rPr>
        <w:fldChar w:fldCharType="separate"/>
      </w:r>
      <w:r w:rsidRPr="005D10C1">
        <w:rPr>
          <w:rFonts w:ascii="Candara" w:hAnsi="Candara"/>
          <w:noProof/>
        </w:rPr>
        <w:t>(Gompers &amp; Lerner, 2004)</w:t>
      </w:r>
      <w:r w:rsidR="003B0D24" w:rsidRPr="005D10C1">
        <w:rPr>
          <w:rFonts w:ascii="Candara" w:hAnsi="Candara"/>
        </w:rPr>
        <w:fldChar w:fldCharType="end"/>
      </w:r>
      <w:r w:rsidRPr="005D10C1">
        <w:rPr>
          <w:rFonts w:ascii="Candara" w:hAnsi="Candara"/>
        </w:rPr>
        <w:t>.</w:t>
      </w:r>
    </w:p>
    <w:p w14:paraId="3D50EC9A" w14:textId="77777777" w:rsidR="006B0921" w:rsidRPr="005D10C1" w:rsidRDefault="00CA6CB6" w:rsidP="006B0921">
      <w:pPr>
        <w:spacing w:line="360" w:lineRule="auto"/>
        <w:rPr>
          <w:rFonts w:ascii="Candara" w:hAnsi="Candara"/>
        </w:rPr>
      </w:pPr>
      <w:r w:rsidRPr="005D10C1">
        <w:rPr>
          <w:rFonts w:ascii="Candara" w:hAnsi="Candara"/>
        </w:rPr>
        <w:t>P</w:t>
      </w:r>
      <w:r w:rsidR="006B0921" w:rsidRPr="005D10C1">
        <w:rPr>
          <w:rFonts w:ascii="Candara" w:hAnsi="Candara"/>
        </w:rPr>
        <w:t xml:space="preserve">rogramas del sector público que financian el desarrollo de </w:t>
      </w:r>
      <w:r w:rsidR="006B0921" w:rsidRPr="005D10C1">
        <w:rPr>
          <w:rFonts w:ascii="Candara" w:hAnsi="Candara"/>
          <w:i/>
        </w:rPr>
        <w:t>spin-offs</w:t>
      </w:r>
      <w:r w:rsidR="006B0921" w:rsidRPr="005D10C1">
        <w:rPr>
          <w:rFonts w:ascii="Candara" w:hAnsi="Candara"/>
        </w:rPr>
        <w:t xml:space="preserve"> universitarias</w:t>
      </w:r>
      <w:r w:rsidR="001377FB" w:rsidRPr="005D10C1">
        <w:rPr>
          <w:rFonts w:ascii="Candara" w:hAnsi="Candara"/>
        </w:rPr>
        <w:t xml:space="preserve"> </w:t>
      </w:r>
      <w:r w:rsidR="00AF57F6" w:rsidRPr="005D10C1">
        <w:rPr>
          <w:rFonts w:ascii="Candara" w:hAnsi="Candara"/>
        </w:rPr>
        <w:t>son los encargados</w:t>
      </w:r>
      <w:r w:rsidR="006B0921" w:rsidRPr="005D10C1">
        <w:rPr>
          <w:rFonts w:ascii="Candara" w:hAnsi="Candara"/>
        </w:rPr>
        <w:t xml:space="preserve"> de reducir</w:t>
      </w:r>
      <w:r w:rsidR="001377FB" w:rsidRPr="005D10C1">
        <w:rPr>
          <w:rFonts w:ascii="Candara" w:hAnsi="Candara"/>
        </w:rPr>
        <w:t xml:space="preserve"> </w:t>
      </w:r>
      <w:r w:rsidR="006B0921" w:rsidRPr="005D10C1">
        <w:rPr>
          <w:rFonts w:ascii="Candara" w:hAnsi="Candara"/>
        </w:rPr>
        <w:t xml:space="preserve">la brecha de financiación que existe desde el momento en que </w:t>
      </w:r>
      <w:r w:rsidR="00D76B90" w:rsidRPr="005D10C1">
        <w:rPr>
          <w:rFonts w:ascii="Candara" w:hAnsi="Candara"/>
        </w:rPr>
        <w:t xml:space="preserve">se crean </w:t>
      </w:r>
      <w:r w:rsidR="006B0921" w:rsidRPr="005D10C1">
        <w:rPr>
          <w:rFonts w:ascii="Candara" w:hAnsi="Candara"/>
        </w:rPr>
        <w:t xml:space="preserve">las invenciones universitarias y </w:t>
      </w:r>
      <w:r w:rsidR="00D76B90" w:rsidRPr="005D10C1">
        <w:rPr>
          <w:rFonts w:ascii="Candara" w:hAnsi="Candara"/>
        </w:rPr>
        <w:t xml:space="preserve">cuando se fundan o formalizan las </w:t>
      </w:r>
      <w:r w:rsidR="006B0921" w:rsidRPr="005D10C1">
        <w:rPr>
          <w:rFonts w:ascii="Candara" w:hAnsi="Candara"/>
          <w:i/>
        </w:rPr>
        <w:t>spin-offs</w:t>
      </w:r>
      <w:r w:rsidR="00D76B90" w:rsidRPr="005D10C1">
        <w:rPr>
          <w:rFonts w:ascii="Candara" w:hAnsi="Candara"/>
          <w:i/>
        </w:rPr>
        <w:t>,</w:t>
      </w:r>
      <w:r w:rsidR="006B0921" w:rsidRPr="005D10C1">
        <w:rPr>
          <w:rFonts w:ascii="Candara" w:hAnsi="Candara"/>
        </w:rPr>
        <w:t xml:space="preserve"> hasta el momento en que el sector privado se interesa en la financiación de </w:t>
      </w:r>
      <w:r w:rsidR="008909AF" w:rsidRPr="005D10C1">
        <w:rPr>
          <w:rFonts w:ascii="Candara" w:hAnsi="Candara"/>
        </w:rPr>
        <w:t>este tipo de compañías</w:t>
      </w:r>
      <w:r w:rsidR="006B0921" w:rsidRPr="005D10C1">
        <w:rPr>
          <w:rFonts w:ascii="Candara" w:hAnsi="Candara"/>
        </w:rPr>
        <w:t xml:space="preserve">. Dos de los programas del sector público más importantes para </w:t>
      </w:r>
      <w:r w:rsidR="008909AF" w:rsidRPr="005D10C1">
        <w:rPr>
          <w:rFonts w:ascii="Candara" w:hAnsi="Candara"/>
        </w:rPr>
        <w:t xml:space="preserve">superar esta </w:t>
      </w:r>
      <w:r w:rsidR="008909AF" w:rsidRPr="005D10C1">
        <w:rPr>
          <w:rFonts w:ascii="Candara" w:hAnsi="Candara"/>
        </w:rPr>
        <w:lastRenderedPageBreak/>
        <w:t xml:space="preserve">brecha </w:t>
      </w:r>
      <w:r w:rsidR="006B0921" w:rsidRPr="005D10C1">
        <w:rPr>
          <w:rFonts w:ascii="Candara" w:hAnsi="Candara"/>
        </w:rPr>
        <w:t xml:space="preserve">son el </w:t>
      </w:r>
      <w:r w:rsidR="006D3F68" w:rsidRPr="005D10C1">
        <w:rPr>
          <w:rFonts w:ascii="Candara" w:hAnsi="Candara"/>
          <w:b/>
          <w:i/>
        </w:rPr>
        <w:t xml:space="preserve">Small Business Innovation Research </w:t>
      </w:r>
      <w:r w:rsidR="006B0921" w:rsidRPr="005D10C1">
        <w:rPr>
          <w:rFonts w:ascii="Candara" w:hAnsi="Candara"/>
          <w:b/>
          <w:i/>
        </w:rPr>
        <w:t>(SBIR)</w:t>
      </w:r>
      <w:r w:rsidR="00E67DC2" w:rsidRPr="005D10C1">
        <w:rPr>
          <w:rFonts w:ascii="Candara" w:hAnsi="Candara"/>
          <w:b/>
          <w:i/>
        </w:rPr>
        <w:t xml:space="preserve"> </w:t>
      </w:r>
      <w:r w:rsidR="00085D7F" w:rsidRPr="005D10C1">
        <w:rPr>
          <w:rFonts w:ascii="Candara" w:hAnsi="Candara"/>
        </w:rPr>
        <w:t xml:space="preserve">(mediante la agencia de administración de pequeños negocios) </w:t>
      </w:r>
      <w:r w:rsidR="006B0921" w:rsidRPr="005D10C1">
        <w:rPr>
          <w:rFonts w:ascii="Candara" w:hAnsi="Candara"/>
        </w:rPr>
        <w:t xml:space="preserve">y el </w:t>
      </w:r>
      <w:r w:rsidR="006B0921" w:rsidRPr="005D10C1">
        <w:rPr>
          <w:rFonts w:ascii="Candara" w:hAnsi="Candara"/>
          <w:b/>
        </w:rPr>
        <w:t>Programa de Tecnología Avanzada (</w:t>
      </w:r>
      <w:r w:rsidR="006B0921" w:rsidRPr="005D10C1">
        <w:rPr>
          <w:rFonts w:ascii="Candara" w:hAnsi="Candara"/>
          <w:b/>
          <w:i/>
        </w:rPr>
        <w:t>ATP</w:t>
      </w:r>
      <w:r w:rsidR="000C2A64" w:rsidRPr="005D10C1">
        <w:rPr>
          <w:rFonts w:ascii="Candara" w:hAnsi="Candara"/>
          <w:b/>
          <w:i/>
        </w:rPr>
        <w:t>: Advanced Technology Advanced</w:t>
      </w:r>
      <w:r w:rsidR="006B0921" w:rsidRPr="005D10C1">
        <w:rPr>
          <w:rFonts w:ascii="Candara" w:hAnsi="Candara"/>
          <w:b/>
        </w:rPr>
        <w:t>)</w:t>
      </w:r>
      <w:r w:rsidR="001377FB" w:rsidRPr="005D10C1">
        <w:rPr>
          <w:rFonts w:ascii="Candara" w:hAnsi="Candara"/>
          <w:b/>
        </w:rPr>
        <w:t xml:space="preserve"> </w:t>
      </w:r>
      <w:r w:rsidR="00085D7F" w:rsidRPr="005D10C1">
        <w:rPr>
          <w:rFonts w:ascii="Candara" w:hAnsi="Candara"/>
        </w:rPr>
        <w:t>(operado mediante el Instituto Naci</w:t>
      </w:r>
      <w:r w:rsidR="00991EA9" w:rsidRPr="005D10C1">
        <w:rPr>
          <w:rFonts w:ascii="Candara" w:hAnsi="Candara"/>
        </w:rPr>
        <w:t>onal de Estándares y Tecnología</w:t>
      </w:r>
      <w:r w:rsidR="00085D7F" w:rsidRPr="005D10C1">
        <w:rPr>
          <w:rFonts w:ascii="Candara" w:hAnsi="Candara"/>
        </w:rPr>
        <w:t>)</w:t>
      </w:r>
      <w:r w:rsidR="006B0921" w:rsidRPr="005D10C1">
        <w:rPr>
          <w:rFonts w:ascii="Candara" w:hAnsi="Candara"/>
        </w:rPr>
        <w:t>.</w:t>
      </w:r>
      <w:r w:rsidR="001377FB" w:rsidRPr="005D10C1">
        <w:rPr>
          <w:rFonts w:ascii="Candara" w:hAnsi="Candara"/>
        </w:rPr>
        <w:t xml:space="preserve"> </w:t>
      </w:r>
      <w:r w:rsidR="00991EA9" w:rsidRPr="005D10C1">
        <w:rPr>
          <w:rFonts w:ascii="Candara" w:hAnsi="Candara"/>
        </w:rPr>
        <w:t>El SBIR es un programa altamente competitivo que fomenta la</w:t>
      </w:r>
      <w:r w:rsidR="001377FB" w:rsidRPr="005D10C1">
        <w:rPr>
          <w:rFonts w:ascii="Candara" w:hAnsi="Candara"/>
        </w:rPr>
        <w:t xml:space="preserve"> participación de las pequeñas empresas nacionales en</w:t>
      </w:r>
      <w:r w:rsidR="00991EA9" w:rsidRPr="005D10C1">
        <w:rPr>
          <w:rFonts w:ascii="Candara" w:hAnsi="Candara"/>
        </w:rPr>
        <w:t xml:space="preserve"> investigación/Investigación y Desarrollo Federal (I/I+D) que tiene potencial de comercialización</w:t>
      </w:r>
      <w:r w:rsidR="00E67DC2" w:rsidRPr="005D10C1">
        <w:rPr>
          <w:rFonts w:ascii="Candara" w:hAnsi="Candara"/>
        </w:rPr>
        <w:t xml:space="preserve"> </w:t>
      </w:r>
      <w:r w:rsidR="003B0D24" w:rsidRPr="005D10C1">
        <w:rPr>
          <w:rFonts w:ascii="Candara" w:hAnsi="Candara"/>
        </w:rPr>
        <w:fldChar w:fldCharType="begin" w:fldLock="1"/>
      </w:r>
      <w:r w:rsidR="00CA1A09" w:rsidRPr="005D10C1">
        <w:rPr>
          <w:rFonts w:ascii="Candara" w:hAnsi="Candara"/>
        </w:rPr>
        <w:instrText>ADDIN CSL_CITATION { "citationItems" : [ { "id" : "ITEM-1", "itemData" : { "URL" : "http://www.sbir.gov/about/about-sbir", "accessed" : { "date-parts" : [ [ "2013", "9", "20" ] ] }, "id" : "ITEM-1", "issued" : { "date-parts" : [ [ "2013" ] ] }, "title" : "SBIR", "type" : "webpage" }, "uris" : [ "http://www.mendeley.com/documents/?uuid=dadf8efe-6dd1-4cce-be2c-874ea77c0619" ] } ], "mendeley" : { "previouslyFormattedCitation" : "(\u201cSBIR,\u201d 2013)" }, "properties" : { "noteIndex" : 0 }, "schema" : "https://github.com/citation-style-language/schema/raw/master/csl-citation.json" }</w:instrText>
      </w:r>
      <w:r w:rsidR="003B0D24" w:rsidRPr="005D10C1">
        <w:rPr>
          <w:rFonts w:ascii="Candara" w:hAnsi="Candara"/>
        </w:rPr>
        <w:fldChar w:fldCharType="separate"/>
      </w:r>
      <w:r w:rsidR="00191850" w:rsidRPr="005D10C1">
        <w:rPr>
          <w:rFonts w:ascii="Candara" w:hAnsi="Candara"/>
          <w:noProof/>
        </w:rPr>
        <w:t>(“SBIR,” 2013)</w:t>
      </w:r>
      <w:r w:rsidR="003B0D24" w:rsidRPr="005D10C1">
        <w:rPr>
          <w:rFonts w:ascii="Candara" w:hAnsi="Candara"/>
        </w:rPr>
        <w:fldChar w:fldCharType="end"/>
      </w:r>
      <w:r w:rsidR="00991EA9" w:rsidRPr="005D10C1">
        <w:rPr>
          <w:rFonts w:ascii="Candara" w:hAnsi="Candara"/>
        </w:rPr>
        <w:t>.</w:t>
      </w:r>
      <w:r w:rsidR="001377FB" w:rsidRPr="005D10C1">
        <w:rPr>
          <w:rFonts w:ascii="Candara" w:hAnsi="Candara"/>
        </w:rPr>
        <w:t xml:space="preserve">  </w:t>
      </w:r>
      <w:r w:rsidR="006B0921" w:rsidRPr="005D10C1">
        <w:rPr>
          <w:rFonts w:ascii="Candara" w:hAnsi="Candara"/>
        </w:rPr>
        <w:t xml:space="preserve">El programa ATP </w:t>
      </w:r>
      <w:r w:rsidR="008909AF" w:rsidRPr="005D10C1">
        <w:rPr>
          <w:rFonts w:ascii="Candara" w:hAnsi="Candara"/>
        </w:rPr>
        <w:t>proporciona</w:t>
      </w:r>
      <w:r w:rsidR="006B0921" w:rsidRPr="005D10C1">
        <w:rPr>
          <w:rFonts w:ascii="Candara" w:hAnsi="Candara"/>
        </w:rPr>
        <w:t xml:space="preserve"> fondos para el desarrollo de tecnologías de alto riesgo</w:t>
      </w:r>
      <w:r w:rsidR="00ED2055" w:rsidRPr="005D10C1">
        <w:rPr>
          <w:rFonts w:ascii="Candara" w:hAnsi="Candara"/>
        </w:rPr>
        <w:t>, pues es un puente entre el laboratorio y el mercado, estimulando la prosperidad a través de la innovación</w:t>
      </w:r>
      <w:r w:rsidR="00E67DC2" w:rsidRPr="005D10C1">
        <w:rPr>
          <w:rFonts w:ascii="Candara" w:hAnsi="Candara"/>
        </w:rPr>
        <w:t xml:space="preserve"> </w:t>
      </w:r>
      <w:r w:rsidR="003B0D24" w:rsidRPr="005D10C1">
        <w:rPr>
          <w:rFonts w:ascii="Candara" w:hAnsi="Candara"/>
        </w:rPr>
        <w:fldChar w:fldCharType="begin" w:fldLock="1"/>
      </w:r>
      <w:r w:rsidR="00CA1A09" w:rsidRPr="005D10C1">
        <w:rPr>
          <w:rFonts w:ascii="Candara" w:hAnsi="Candara"/>
        </w:rPr>
        <w:instrText>ADDIN CSL_CITATION { "citationItems" : [ { "id" : "ITEM-1", "itemData" : { "URL" : "http://www.atp.nist.gov/atp/overview.htm", "accessed" : { "date-parts" : [ [ "2013", "9", "20" ] ] }, "id" : "ITEM-1", "issued" : { "date-parts" : [ [ "2010" ] ] }, "title" : "How ATP Works", "type" : "webpage" }, "uris" : [ "http://www.mendeley.com/documents/?uuid=9853a44a-c9d8-4485-b603-a0db43cca6e9" ] } ], "mendeley" : { "previouslyFormattedCitation" : "(\u201cHow ATP Works,\u201d 2010)" }, "properties" : { "noteIndex" : 0 }, "schema" : "https://github.com/citation-style-language/schema/raw/master/csl-citation.json" }</w:instrText>
      </w:r>
      <w:r w:rsidR="003B0D24" w:rsidRPr="005D10C1">
        <w:rPr>
          <w:rFonts w:ascii="Candara" w:hAnsi="Candara"/>
        </w:rPr>
        <w:fldChar w:fldCharType="separate"/>
      </w:r>
      <w:r w:rsidR="00E67DC2" w:rsidRPr="005D10C1">
        <w:rPr>
          <w:rFonts w:ascii="Candara" w:hAnsi="Candara"/>
          <w:noProof/>
        </w:rPr>
        <w:t>(“How ATP Works,” 2010)</w:t>
      </w:r>
      <w:r w:rsidR="003B0D24" w:rsidRPr="005D10C1">
        <w:rPr>
          <w:rFonts w:ascii="Candara" w:hAnsi="Candara"/>
        </w:rPr>
        <w:fldChar w:fldCharType="end"/>
      </w:r>
      <w:r w:rsidR="00ED2055" w:rsidRPr="005D10C1">
        <w:rPr>
          <w:rFonts w:ascii="Candara" w:hAnsi="Candara"/>
        </w:rPr>
        <w:t>.En este orden de ideas</w:t>
      </w:r>
      <w:r w:rsidR="006B0921" w:rsidRPr="005D10C1">
        <w:rPr>
          <w:rFonts w:ascii="Candara" w:hAnsi="Candara"/>
        </w:rPr>
        <w:t xml:space="preserve"> la presencia de estas instituciones hace que la financiación de spi</w:t>
      </w:r>
      <w:r w:rsidR="0065577B" w:rsidRPr="005D10C1">
        <w:rPr>
          <w:rFonts w:ascii="Candara" w:hAnsi="Candara"/>
        </w:rPr>
        <w:t xml:space="preserve">n-off </w:t>
      </w:r>
      <w:r w:rsidR="00991EA9" w:rsidRPr="005D10C1">
        <w:rPr>
          <w:rFonts w:ascii="Candara" w:hAnsi="Candara"/>
        </w:rPr>
        <w:t>universitario</w:t>
      </w:r>
      <w:r w:rsidR="00ED2055" w:rsidRPr="005D10C1">
        <w:rPr>
          <w:rFonts w:ascii="Candara" w:hAnsi="Candara"/>
        </w:rPr>
        <w:t xml:space="preserve"> sea</w:t>
      </w:r>
      <w:r w:rsidR="0065577B" w:rsidRPr="005D10C1">
        <w:rPr>
          <w:rFonts w:ascii="Candara" w:hAnsi="Candara"/>
        </w:rPr>
        <w:t xml:space="preserve"> más fácil y como consecuencia </w:t>
      </w:r>
      <w:r w:rsidR="006B0921" w:rsidRPr="005D10C1">
        <w:rPr>
          <w:rFonts w:ascii="Candara" w:hAnsi="Candara"/>
        </w:rPr>
        <w:t>facilita su formación.</w:t>
      </w:r>
    </w:p>
    <w:p w14:paraId="6491A271" w14:textId="77777777" w:rsidR="003B25CE" w:rsidRPr="005D10C1" w:rsidRDefault="003B25CE" w:rsidP="006B0921">
      <w:pPr>
        <w:spacing w:line="360" w:lineRule="auto"/>
        <w:rPr>
          <w:rFonts w:ascii="Candara" w:hAnsi="Candara"/>
        </w:rPr>
      </w:pPr>
    </w:p>
    <w:p w14:paraId="4211A25E" w14:textId="77777777" w:rsidR="006B0921" w:rsidRPr="005D10C1" w:rsidRDefault="00085D7F" w:rsidP="006B0921">
      <w:pPr>
        <w:spacing w:line="360" w:lineRule="auto"/>
        <w:rPr>
          <w:rFonts w:ascii="Candara" w:hAnsi="Candara"/>
        </w:rPr>
      </w:pPr>
      <w:r w:rsidRPr="005D10C1">
        <w:rPr>
          <w:rFonts w:ascii="Candara" w:hAnsi="Candara"/>
        </w:rPr>
        <w:t>Aparte de los programas</w:t>
      </w:r>
      <w:r w:rsidR="003B25CE" w:rsidRPr="005D10C1">
        <w:rPr>
          <w:rFonts w:ascii="Candara" w:hAnsi="Candara"/>
        </w:rPr>
        <w:t xml:space="preserve"> mencionados en el párrafo anterior, </w:t>
      </w:r>
      <w:r w:rsidR="006E0AEF" w:rsidRPr="005D10C1">
        <w:rPr>
          <w:rFonts w:ascii="Candara" w:hAnsi="Candara"/>
        </w:rPr>
        <w:t xml:space="preserve">el mercado de </w:t>
      </w:r>
      <w:r w:rsidR="003B25CE" w:rsidRPr="005D10C1">
        <w:rPr>
          <w:rFonts w:ascii="Candara" w:hAnsi="Candara"/>
        </w:rPr>
        <w:t xml:space="preserve">capitales </w:t>
      </w:r>
      <w:r w:rsidR="00F61FC8" w:rsidRPr="005D10C1">
        <w:rPr>
          <w:rFonts w:ascii="Candara" w:hAnsi="Candara"/>
        </w:rPr>
        <w:t>ha</w:t>
      </w:r>
      <w:r w:rsidR="003B25CE" w:rsidRPr="005D10C1">
        <w:rPr>
          <w:rFonts w:ascii="Candara" w:hAnsi="Candara"/>
        </w:rPr>
        <w:t xml:space="preserve"> tenido un especial interés </w:t>
      </w:r>
      <w:r w:rsidR="00D21577" w:rsidRPr="005D10C1">
        <w:rPr>
          <w:rFonts w:ascii="Candara" w:hAnsi="Candara"/>
        </w:rPr>
        <w:t>en</w:t>
      </w:r>
      <w:r w:rsidR="003B25CE" w:rsidRPr="005D10C1">
        <w:rPr>
          <w:rFonts w:ascii="Candara" w:hAnsi="Candara"/>
        </w:rPr>
        <w:t xml:space="preserve"> financiar empresas antes que </w:t>
      </w:r>
      <w:r w:rsidR="00D76B90" w:rsidRPr="005D10C1">
        <w:rPr>
          <w:rFonts w:ascii="Candara" w:hAnsi="Candara"/>
        </w:rPr>
        <w:t>é</w:t>
      </w:r>
      <w:r w:rsidR="003B25CE" w:rsidRPr="005D10C1">
        <w:rPr>
          <w:rFonts w:ascii="Candara" w:hAnsi="Candara"/>
        </w:rPr>
        <w:t>stas tengan un producto comercial</w:t>
      </w:r>
      <w:r w:rsidR="00F61FC8" w:rsidRPr="005D10C1">
        <w:rPr>
          <w:rFonts w:ascii="Candara" w:hAnsi="Candara"/>
        </w:rPr>
        <w:t xml:space="preserve">. Este cambio ha permitido a los emprendedores universitarios en </w:t>
      </w:r>
      <w:r w:rsidR="00DC7EDD" w:rsidRPr="005D10C1">
        <w:rPr>
          <w:rFonts w:ascii="Candara" w:hAnsi="Candara"/>
        </w:rPr>
        <w:t xml:space="preserve">sectores </w:t>
      </w:r>
      <w:r w:rsidR="00F61FC8" w:rsidRPr="005D10C1">
        <w:rPr>
          <w:rFonts w:ascii="Candara" w:hAnsi="Candara"/>
        </w:rPr>
        <w:t xml:space="preserve">de capital </w:t>
      </w:r>
      <w:r w:rsidR="004D18D9" w:rsidRPr="005D10C1">
        <w:rPr>
          <w:rFonts w:ascii="Candara" w:hAnsi="Candara"/>
        </w:rPr>
        <w:t>intensivo, como la biotecnología</w:t>
      </w:r>
      <w:r w:rsidR="00DC7EDD" w:rsidRPr="005D10C1">
        <w:rPr>
          <w:rFonts w:ascii="Candara" w:hAnsi="Candara"/>
        </w:rPr>
        <w:t>,</w:t>
      </w:r>
      <w:r w:rsidR="004D18D9" w:rsidRPr="005D10C1">
        <w:rPr>
          <w:rFonts w:ascii="Candara" w:hAnsi="Candara"/>
        </w:rPr>
        <w:t xml:space="preserve"> obtener</w:t>
      </w:r>
      <w:r w:rsidR="00F61FC8" w:rsidRPr="005D10C1">
        <w:rPr>
          <w:rFonts w:ascii="Candara" w:hAnsi="Candara"/>
        </w:rPr>
        <w:t xml:space="preserve"> el dinero suficiente para desarrollar nuevos productos en el ámbito de las nuevas empresas</w:t>
      </w:r>
      <w:r w:rsidR="00370E94" w:rsidRPr="005D10C1">
        <w:rPr>
          <w:rFonts w:ascii="Candara" w:hAnsi="Candara"/>
        </w:rPr>
        <w:t xml:space="preserve">, lo que </w:t>
      </w:r>
      <w:r w:rsidR="003B25CE" w:rsidRPr="005D10C1">
        <w:rPr>
          <w:rFonts w:ascii="Candara" w:hAnsi="Candara"/>
        </w:rPr>
        <w:t xml:space="preserve">estimula la creación y formación de </w:t>
      </w:r>
      <w:r w:rsidR="003B25CE" w:rsidRPr="005D10C1">
        <w:rPr>
          <w:rFonts w:ascii="Candara" w:hAnsi="Candara"/>
          <w:i/>
        </w:rPr>
        <w:t>spin-off</w:t>
      </w:r>
      <w:r w:rsidR="00370E94" w:rsidRPr="005D10C1">
        <w:rPr>
          <w:rFonts w:ascii="Candara" w:hAnsi="Candara"/>
        </w:rPr>
        <w:t xml:space="preserve"> universitarias</w:t>
      </w:r>
      <w:r w:rsidR="00625C8B" w:rsidRPr="005D10C1">
        <w:rPr>
          <w:rFonts w:ascii="Candara" w:hAnsi="Candara"/>
        </w:rPr>
        <w:t xml:space="preserve"> </w:t>
      </w:r>
      <w:r w:rsidR="003B0D24" w:rsidRPr="005D10C1">
        <w:rPr>
          <w:rFonts w:ascii="Candara" w:hAnsi="Candara"/>
        </w:rPr>
        <w:fldChar w:fldCharType="begin" w:fldLock="1"/>
      </w:r>
      <w:r w:rsidR="00CA1A09" w:rsidRPr="005D10C1">
        <w:rPr>
          <w:rFonts w:ascii="Candara" w:hAnsi="Candara"/>
        </w:rPr>
        <w:instrText>ADDIN CSL_CITATION { "citationItems" : [ { "id" : "ITEM-1", "itemData" : { "author" : [ { "dropping-particle" : "", "family" : "Bray", "given" : "MJ", "non-dropping-particle" : "", "parse-names" : false, "suffix" : "" }, { "dropping-particle" : "", "family" : "Lee", "given" : "JN", "non-dropping-particle" : "", "parse-names" : false, "suffix" : "" } ], "container-title" : "Journal of Business Venturing", "id" : "ITEM-1", "issued" : { "date-parts" : [ [ "2000" ] ] }, "title" : "University revenues from technology transfer: Licensing fees vs. equity positions", "type" : "article-journal" }, "uris" : [ "http://www.mendeley.com/documents/?uuid=4b56681f-bb71-49f7-a233-6b39c2e40116" ] }, { "id" : "ITEM-2", "itemData" : { "author" : [ { "dropping-particle" : "", "family" : "Stephan", "given" : "PE", "non-dropping-particle" : "", "parse-names" : false, "suffix" : "" }, { "dropping-particle" : "", "family" : "Levin", "given" : "SG", "non-dropping-particle" : "", "parse-names" : false, "suffix" : "" } ], "container-title" : "Small Business Economics", "id" : "ITEM-2", "issued" : { "date-parts" : [ [ "1996" ] ] }, "title" : "Property rights and entrepreneurship in science", "type" : "article-journal" }, "uris" : [ "http://www.mendeley.com/documents/?uuid=ebbc8fda-5ffc-408d-a525-c8aac207844d" ] } ], "mendeley" : { "previouslyFormattedCitation" : "(Bray &amp; Lee, 2000; Stephan &amp; Levin, 1996)" }, "properties" : { "noteIndex" : 0 }, "schema" : "https://github.com/citation-style-language/schema/raw/master/csl-citation.json" }</w:instrText>
      </w:r>
      <w:r w:rsidR="003B0D24" w:rsidRPr="005D10C1">
        <w:rPr>
          <w:rFonts w:ascii="Candara" w:hAnsi="Candara"/>
        </w:rPr>
        <w:fldChar w:fldCharType="separate"/>
      </w:r>
      <w:r w:rsidR="00F41A17" w:rsidRPr="005D10C1">
        <w:rPr>
          <w:rFonts w:ascii="Candara" w:hAnsi="Candara"/>
          <w:noProof/>
        </w:rPr>
        <w:t>(Bray &amp; Lee, 2000; Stephan &amp; Levin, 1996)</w:t>
      </w:r>
      <w:r w:rsidR="003B0D24" w:rsidRPr="005D10C1">
        <w:rPr>
          <w:rFonts w:ascii="Candara" w:hAnsi="Candara"/>
        </w:rPr>
        <w:fldChar w:fldCharType="end"/>
      </w:r>
      <w:r w:rsidR="00370E94" w:rsidRPr="005D10C1">
        <w:rPr>
          <w:rFonts w:ascii="Candara" w:hAnsi="Candara"/>
        </w:rPr>
        <w:t>.</w:t>
      </w:r>
    </w:p>
    <w:p w14:paraId="398EB768" w14:textId="77777777" w:rsidR="00085D7F" w:rsidRPr="005D10C1" w:rsidRDefault="00085D7F" w:rsidP="00F06A9D">
      <w:pPr>
        <w:spacing w:line="360" w:lineRule="auto"/>
        <w:rPr>
          <w:rFonts w:ascii="Candara" w:hAnsi="Candara"/>
        </w:rPr>
      </w:pPr>
    </w:p>
    <w:p w14:paraId="331EE0A8" w14:textId="77777777" w:rsidR="006F2EBC" w:rsidRPr="005D10C1" w:rsidRDefault="00C03722" w:rsidP="004D7DCB">
      <w:pPr>
        <w:spacing w:line="360" w:lineRule="auto"/>
        <w:rPr>
          <w:rFonts w:ascii="Candara" w:hAnsi="Candara"/>
          <w:i/>
        </w:rPr>
      </w:pPr>
      <w:r w:rsidRPr="005D10C1">
        <w:rPr>
          <w:rFonts w:ascii="Candara" w:hAnsi="Candara"/>
          <w:i/>
        </w:rPr>
        <w:t>Políticas universitarias de spin-off</w:t>
      </w:r>
    </w:p>
    <w:p w14:paraId="429D58A2" w14:textId="77777777" w:rsidR="00573136" w:rsidRPr="005D10C1" w:rsidRDefault="00573136" w:rsidP="00573136">
      <w:pPr>
        <w:spacing w:line="360" w:lineRule="auto"/>
        <w:rPr>
          <w:rFonts w:ascii="Candara" w:hAnsi="Candara"/>
        </w:rPr>
      </w:pPr>
      <w:r w:rsidRPr="005D10C1">
        <w:rPr>
          <w:rFonts w:ascii="Candara" w:hAnsi="Candara"/>
        </w:rPr>
        <w:t xml:space="preserve">El incremento en la creación de las </w:t>
      </w:r>
      <w:r w:rsidRPr="005D10C1">
        <w:rPr>
          <w:rFonts w:ascii="Candara" w:hAnsi="Candara"/>
          <w:i/>
        </w:rPr>
        <w:t>spin-off</w:t>
      </w:r>
      <w:r w:rsidRPr="005D10C1">
        <w:rPr>
          <w:rFonts w:ascii="Candara" w:hAnsi="Candara"/>
        </w:rPr>
        <w:t xml:space="preserve"> en EEUU se debe</w:t>
      </w:r>
      <w:r w:rsidR="00250B7C" w:rsidRPr="005D10C1">
        <w:rPr>
          <w:rFonts w:ascii="Candara" w:hAnsi="Candara"/>
        </w:rPr>
        <w:t xml:space="preserve"> también, en parte, </w:t>
      </w:r>
      <w:r w:rsidRPr="005D10C1">
        <w:rPr>
          <w:rFonts w:ascii="Candara" w:hAnsi="Candara"/>
        </w:rPr>
        <w:t>a</w:t>
      </w:r>
      <w:r w:rsidR="00250B7C" w:rsidRPr="005D10C1">
        <w:rPr>
          <w:rFonts w:ascii="Candara" w:hAnsi="Candara"/>
        </w:rPr>
        <w:t xml:space="preserve"> las</w:t>
      </w:r>
      <w:r w:rsidRPr="005D10C1">
        <w:rPr>
          <w:rFonts w:ascii="Candara" w:hAnsi="Candara"/>
        </w:rPr>
        <w:t xml:space="preserve"> medidas que han tomado las universidades, como la política de tener participación en el licenciamiento de tecnología universitaria. </w:t>
      </w:r>
      <w:r w:rsidR="000834D1" w:rsidRPr="005D10C1">
        <w:rPr>
          <w:rFonts w:ascii="Candara" w:hAnsi="Candara"/>
        </w:rPr>
        <w:t>Estas instituciones tienen participación de dos formas: en primer lugar, se toman acciones a cambio de la propiedad intelectual o cualquier otra consideración y, en segundo lugar, hacen inversiones en efectivo en los licenciamientos a cambio de participación (Feldman, 2001).</w:t>
      </w:r>
    </w:p>
    <w:p w14:paraId="295E2342" w14:textId="77777777" w:rsidR="00573136" w:rsidRPr="005D10C1" w:rsidRDefault="00573136" w:rsidP="00573136">
      <w:pPr>
        <w:spacing w:line="360" w:lineRule="auto"/>
        <w:rPr>
          <w:rFonts w:ascii="Candara" w:hAnsi="Candara"/>
        </w:rPr>
      </w:pPr>
    </w:p>
    <w:p w14:paraId="1B7B5DBD" w14:textId="77777777" w:rsidR="000834D1" w:rsidRPr="005D10C1" w:rsidRDefault="000834D1" w:rsidP="000834D1">
      <w:pPr>
        <w:spacing w:line="360" w:lineRule="auto"/>
        <w:rPr>
          <w:rFonts w:ascii="Candara" w:hAnsi="Candara"/>
        </w:rPr>
      </w:pPr>
      <w:r w:rsidRPr="005D10C1">
        <w:rPr>
          <w:rFonts w:ascii="Candara" w:hAnsi="Candara"/>
        </w:rPr>
        <w:lastRenderedPageBreak/>
        <w:t xml:space="preserve">El uso de la participación está asociada con el incremento de la actividad </w:t>
      </w:r>
      <w:r w:rsidRPr="005D10C1">
        <w:rPr>
          <w:rFonts w:ascii="Candara" w:hAnsi="Candara"/>
          <w:i/>
        </w:rPr>
        <w:t xml:space="preserve">spin-off </w:t>
      </w:r>
      <w:r w:rsidRPr="005D10C1">
        <w:rPr>
          <w:rFonts w:ascii="Candara" w:hAnsi="Candara"/>
        </w:rPr>
        <w:t>por varias razones. Utilizar la participación en lugar de cubrir los gastos de las patentes disminuye las restricciones en la creación de nuevas empresas; el uso de esta figura para capitalizar los costos de las patentes permite a las spin-off utilizar el capital para otras actividades. Además usar la participación permite a las universidades beneficiarse de la comercialización de las tecnologías inciertas</w:t>
      </w:r>
      <w:r w:rsidR="001E438F" w:rsidRPr="005D10C1">
        <w:rPr>
          <w:rFonts w:ascii="Candara" w:hAnsi="Candara"/>
        </w:rPr>
        <w:t xml:space="preserve"> </w:t>
      </w:r>
      <w:r w:rsidR="003B0D24" w:rsidRPr="005D10C1">
        <w:rPr>
          <w:rFonts w:ascii="Candara" w:hAnsi="Candara"/>
        </w:rPr>
        <w:fldChar w:fldCharType="begin" w:fldLock="1"/>
      </w:r>
      <w:r w:rsidRPr="005D10C1">
        <w:rPr>
          <w:rFonts w:ascii="Candara" w:hAnsi="Candara"/>
        </w:rPr>
        <w:instrText>ADDIN CSL_CITATION { "citationItems" : [ { "id" : "ITEM-1", "itemData" : { "author" : [ { "dropping-particle" : "", "family" : "Gregorio", "given" : "D", "non-dropping-particle" : "Di", "parse-names" : false, "suffix" : "" }, { "dropping-particle" : "", "family" : "Shane", "given" : "S", "non-dropping-particle" : "", "parse-names" : false, "suffix" : "" } ], "container-title" : "Research policy", "id" : "ITEM-1", "issued" : { "date-parts" : [ [ "2003" ] ] }, "title" : "Why do some universities generate more start-ups than others?", "type" : "article-journal" }, "uris" : [ "http://www.mendeley.com/documents/?uuid=3464184e-468c-4394-a2aa-7bbc2d4e3a20" ] } ], "mendeley" : { "previouslyFormattedCitation" : "(Di Gregorio &amp; Shane, 2003)" }, "properties" : { "noteIndex" : 0 }, "schema" : "https://github.com/citation-style-language/schema/raw/master/csl-citation.json" }</w:instrText>
      </w:r>
      <w:r w:rsidR="003B0D24" w:rsidRPr="005D10C1">
        <w:rPr>
          <w:rFonts w:ascii="Candara" w:hAnsi="Candara"/>
        </w:rPr>
        <w:fldChar w:fldCharType="separate"/>
      </w:r>
      <w:r w:rsidRPr="005D10C1">
        <w:rPr>
          <w:rFonts w:ascii="Candara" w:hAnsi="Candara"/>
          <w:noProof/>
        </w:rPr>
        <w:t>(Di Gregorio &amp; Shane, 2003)</w:t>
      </w:r>
      <w:r w:rsidR="003B0D24" w:rsidRPr="005D10C1">
        <w:rPr>
          <w:rFonts w:ascii="Candara" w:hAnsi="Candara"/>
        </w:rPr>
        <w:fldChar w:fldCharType="end"/>
      </w:r>
      <w:r w:rsidRPr="005D10C1">
        <w:rPr>
          <w:rFonts w:ascii="Candara" w:hAnsi="Candara"/>
        </w:rPr>
        <w:t>.</w:t>
      </w:r>
    </w:p>
    <w:p w14:paraId="66C7EF6E" w14:textId="77777777" w:rsidR="00573136" w:rsidRPr="005D10C1" w:rsidRDefault="00573136" w:rsidP="004D7DCB">
      <w:pPr>
        <w:spacing w:line="360" w:lineRule="auto"/>
        <w:rPr>
          <w:rFonts w:ascii="Candara" w:hAnsi="Candara"/>
        </w:rPr>
      </w:pPr>
    </w:p>
    <w:p w14:paraId="1F392BA6" w14:textId="77777777" w:rsidR="0026386E" w:rsidRPr="005D10C1" w:rsidRDefault="0026386E" w:rsidP="004D7DCB">
      <w:pPr>
        <w:spacing w:line="360" w:lineRule="auto"/>
        <w:rPr>
          <w:rFonts w:ascii="Candara" w:hAnsi="Candara"/>
          <w:b/>
          <w:i/>
        </w:rPr>
      </w:pPr>
    </w:p>
    <w:p w14:paraId="6F4C4D3A" w14:textId="77777777" w:rsidR="00573136" w:rsidRPr="005D10C1" w:rsidRDefault="00C94D50" w:rsidP="004D7DCB">
      <w:pPr>
        <w:spacing w:line="360" w:lineRule="auto"/>
        <w:rPr>
          <w:rFonts w:ascii="Candara" w:hAnsi="Candara"/>
          <w:b/>
          <w:i/>
        </w:rPr>
      </w:pPr>
      <w:r w:rsidRPr="005D10C1">
        <w:rPr>
          <w:rFonts w:ascii="Candara" w:hAnsi="Candara"/>
          <w:b/>
          <w:i/>
        </w:rPr>
        <w:t>Participación de los servidores públicos en el capital accionario de una spin-off</w:t>
      </w:r>
    </w:p>
    <w:p w14:paraId="5D3BA6AD" w14:textId="77777777" w:rsidR="0026386E" w:rsidRPr="005D10C1" w:rsidRDefault="0026386E" w:rsidP="004D7DCB">
      <w:pPr>
        <w:spacing w:line="360" w:lineRule="auto"/>
        <w:rPr>
          <w:rFonts w:ascii="Candara" w:hAnsi="Candara"/>
          <w:b/>
          <w:i/>
        </w:rPr>
      </w:pPr>
    </w:p>
    <w:p w14:paraId="54761762" w14:textId="77777777" w:rsidR="00241739" w:rsidRPr="005D10C1" w:rsidRDefault="00C94D50" w:rsidP="006B0B4F">
      <w:pPr>
        <w:spacing w:line="360" w:lineRule="auto"/>
        <w:rPr>
          <w:rFonts w:ascii="Candara" w:hAnsi="Candara"/>
        </w:rPr>
      </w:pPr>
      <w:r w:rsidRPr="005D10C1">
        <w:rPr>
          <w:rFonts w:ascii="Candara" w:hAnsi="Candara"/>
        </w:rPr>
        <w:t xml:space="preserve">En el caso estadounidense,  </w:t>
      </w:r>
      <w:r w:rsidR="00A37066" w:rsidRPr="005D10C1">
        <w:rPr>
          <w:rFonts w:ascii="Candara" w:hAnsi="Candara"/>
          <w:b/>
        </w:rPr>
        <w:t xml:space="preserve">los académicos </w:t>
      </w:r>
      <w:r w:rsidRPr="005D10C1">
        <w:rPr>
          <w:rFonts w:ascii="Candara" w:hAnsi="Candara"/>
          <w:b/>
        </w:rPr>
        <w:t xml:space="preserve">o investigadores </w:t>
      </w:r>
      <w:r w:rsidR="00A37066" w:rsidRPr="005D10C1">
        <w:rPr>
          <w:rFonts w:ascii="Candara" w:hAnsi="Candara"/>
          <w:b/>
        </w:rPr>
        <w:t>pueden tener acciones en las empresas a la que están afiliados</w:t>
      </w:r>
      <w:r w:rsidR="007C48B2" w:rsidRPr="005D10C1">
        <w:rPr>
          <w:rFonts w:ascii="Candara" w:hAnsi="Candara"/>
          <w:b/>
        </w:rPr>
        <w:t xml:space="preserve"> </w:t>
      </w:r>
      <w:r w:rsidR="003B0D24" w:rsidRPr="005D10C1">
        <w:rPr>
          <w:rFonts w:ascii="Candara" w:hAnsi="Candara"/>
          <w:b/>
        </w:rPr>
        <w:fldChar w:fldCharType="begin" w:fldLock="1"/>
      </w:r>
      <w:r w:rsidR="00CA1A09" w:rsidRPr="005D10C1">
        <w:rPr>
          <w:rFonts w:ascii="Candara" w:hAnsi="Candara"/>
          <w:b/>
        </w:rPr>
        <w:instrText>ADDIN CSL_CITATION { "citationItems" : [ { "id" : "ITEM-1", "itemData" : { "author" : [ { "dropping-particle" : "", "family" : "Gittelman", "given" : "M", "non-dropping-particle" : "", "parse-names" : false, "suffix" : "" } ], "id" : "ITEM-1", "issued" : { "date-parts" : [ [ "2001" ] ] }, "publisher-place" : "New York", "title" : "The institutional origins of national innovation performance: Careers, organization and patents in biotechnology in the United States and France", "type" : "article" }, "uris" : [ "http://www.mendeley.com/documents/?uuid=acf2d9c7-c981-4c53-844e-9ced4a493bd0" ] } ], "mendeley" : { "previouslyFormattedCitation" : "(Gittelman, 2001)" }, "properties" : { "noteIndex" : 0 }, "schema" : "https://github.com/citation-style-language/schema/raw/master/csl-citation.json" }</w:instrText>
      </w:r>
      <w:r w:rsidR="003B0D24" w:rsidRPr="005D10C1">
        <w:rPr>
          <w:rFonts w:ascii="Candara" w:hAnsi="Candara"/>
          <w:b/>
        </w:rPr>
        <w:fldChar w:fldCharType="separate"/>
      </w:r>
      <w:r w:rsidR="00D53401" w:rsidRPr="005D10C1">
        <w:rPr>
          <w:rFonts w:ascii="Candara" w:hAnsi="Candara"/>
          <w:noProof/>
        </w:rPr>
        <w:t>(Gittelman, 2001)</w:t>
      </w:r>
      <w:r w:rsidR="003B0D24" w:rsidRPr="005D10C1">
        <w:rPr>
          <w:rFonts w:ascii="Candara" w:hAnsi="Candara"/>
          <w:b/>
        </w:rPr>
        <w:fldChar w:fldCharType="end"/>
      </w:r>
      <w:r w:rsidR="00D53401" w:rsidRPr="005D10C1">
        <w:rPr>
          <w:rFonts w:ascii="Candara" w:hAnsi="Candara"/>
          <w:b/>
        </w:rPr>
        <w:t>.</w:t>
      </w:r>
    </w:p>
    <w:p w14:paraId="516BF0F4" w14:textId="77777777" w:rsidR="00FE365C" w:rsidRPr="005D10C1" w:rsidRDefault="00FE365C" w:rsidP="006B0B4F">
      <w:pPr>
        <w:spacing w:line="360" w:lineRule="auto"/>
        <w:rPr>
          <w:rFonts w:ascii="Candara" w:hAnsi="Candara"/>
        </w:rPr>
      </w:pPr>
    </w:p>
    <w:p w14:paraId="35079F20" w14:textId="77777777" w:rsidR="000834D1" w:rsidRPr="005D10C1" w:rsidRDefault="000834D1" w:rsidP="000834D1">
      <w:pPr>
        <w:spacing w:line="360" w:lineRule="auto"/>
        <w:rPr>
          <w:rFonts w:ascii="Candara" w:hAnsi="Candara"/>
        </w:rPr>
      </w:pPr>
      <w:r w:rsidRPr="005D10C1">
        <w:rPr>
          <w:rFonts w:ascii="Candara" w:hAnsi="Candara"/>
        </w:rPr>
        <w:t>Sin embargo, lo anterior no se puede generalizar, pues en EEUU existen los gobiernos federales, y por tanto pueden encontrarse regulaciones específicas que aún supongan una limitación, tal como sucedió en el estado de Ohio.</w:t>
      </w:r>
    </w:p>
    <w:p w14:paraId="00706A57" w14:textId="77777777" w:rsidR="000834D1" w:rsidRPr="005D10C1" w:rsidRDefault="000834D1" w:rsidP="000834D1">
      <w:pPr>
        <w:spacing w:line="360" w:lineRule="auto"/>
        <w:rPr>
          <w:rFonts w:ascii="Candara" w:hAnsi="Candara"/>
        </w:rPr>
      </w:pPr>
    </w:p>
    <w:p w14:paraId="73AC4BAB" w14:textId="77777777" w:rsidR="000834D1" w:rsidRPr="005D10C1" w:rsidRDefault="000834D1" w:rsidP="000834D1">
      <w:pPr>
        <w:spacing w:line="360" w:lineRule="auto"/>
        <w:rPr>
          <w:rFonts w:ascii="Candara" w:hAnsi="Candara"/>
        </w:rPr>
      </w:pPr>
      <w:r w:rsidRPr="005D10C1">
        <w:rPr>
          <w:rFonts w:ascii="Candara" w:hAnsi="Candara"/>
        </w:rPr>
        <w:t>El Estado de Ohio no permite que las universidades públicas tengan participación en empresas privadas (start-up) y hasta 2001, tampoco permitía que el profesorado tuviera participación en sus nuevas empresas. Igualmente, no permitía que la transferencia de tecnología y los contratos de investigación se hicieran sin la aprobación del consejo universitario fiduciario y restringía la inclusión en los contratos de cláusulas de indemnización en el que la universidad indemnizara al patrocinador por los errores de la universidad. Por todo lo anterior, la Universidad de Akron creó la</w:t>
      </w:r>
      <w:r w:rsidRPr="005D10C1">
        <w:rPr>
          <w:rFonts w:ascii="Candara" w:hAnsi="Candara"/>
          <w:i/>
        </w:rPr>
        <w:t xml:space="preserve"> </w:t>
      </w:r>
      <w:hyperlink r:id="rId14" w:history="1">
        <w:r w:rsidRPr="005D10C1">
          <w:rPr>
            <w:rFonts w:ascii="Candara" w:hAnsi="Candara"/>
            <w:i/>
          </w:rPr>
          <w:t>University of Akron Research Foundation</w:t>
        </w:r>
      </w:hyperlink>
      <w:r w:rsidRPr="005D10C1">
        <w:rPr>
          <w:rFonts w:ascii="Candara" w:hAnsi="Candara"/>
        </w:rPr>
        <w:t xml:space="preserve"> (UARF), una organización para facilitar la transferencia de tecnología universidad y administrar  los contratos de la universidad con las empresas. </w:t>
      </w:r>
    </w:p>
    <w:p w14:paraId="33DFC494" w14:textId="77777777" w:rsidR="000834D1" w:rsidRPr="005D10C1" w:rsidRDefault="000834D1" w:rsidP="000834D1">
      <w:pPr>
        <w:spacing w:line="360" w:lineRule="auto"/>
        <w:rPr>
          <w:rFonts w:ascii="Candara" w:hAnsi="Candara"/>
        </w:rPr>
      </w:pPr>
      <w:r w:rsidRPr="005D10C1">
        <w:rPr>
          <w:rFonts w:ascii="Candara" w:hAnsi="Candara"/>
        </w:rPr>
        <w:lastRenderedPageBreak/>
        <w:t>La UARF es una organización sin ánimo de lucro con una carta corporativa para beneficiar a la universidad. Ésta responde a las oportunidades y necesidades de la industria y además permite mantener la participación en empresas, proporciona indemnizaciones a los patrocinadores privados de investigación y llega a acuerdos con jurisdicciones extranjeras.</w:t>
      </w:r>
    </w:p>
    <w:p w14:paraId="2A851E89" w14:textId="77777777" w:rsidR="000834D1" w:rsidRPr="005D10C1" w:rsidRDefault="000834D1" w:rsidP="000834D1">
      <w:pPr>
        <w:spacing w:line="360" w:lineRule="auto"/>
        <w:rPr>
          <w:rFonts w:ascii="Candara" w:hAnsi="Candara"/>
        </w:rPr>
      </w:pPr>
    </w:p>
    <w:p w14:paraId="4FF12D29" w14:textId="77777777" w:rsidR="000834D1" w:rsidRPr="005D10C1" w:rsidRDefault="000834D1" w:rsidP="000834D1">
      <w:pPr>
        <w:spacing w:line="360" w:lineRule="auto"/>
        <w:rPr>
          <w:rFonts w:ascii="Candara" w:hAnsi="Candara"/>
        </w:rPr>
      </w:pPr>
      <w:r w:rsidRPr="005D10C1">
        <w:rPr>
          <w:rFonts w:ascii="Candara" w:hAnsi="Candara"/>
        </w:rPr>
        <w:t xml:space="preserve">La UARF llegó a un acuerdo con la Universidad de Akron el cual le permite a esta organización participar y administrar todos los acuerdos de relacionados con investigación patrocinada por la industria, así como los proyectos que la universidad estatal no podía tomar. </w:t>
      </w:r>
    </w:p>
    <w:p w14:paraId="725E4AFE" w14:textId="77777777" w:rsidR="00A94B87" w:rsidRPr="005D10C1" w:rsidRDefault="00A94B87" w:rsidP="006B0B4F">
      <w:pPr>
        <w:spacing w:line="360" w:lineRule="auto"/>
        <w:rPr>
          <w:rFonts w:ascii="Candara" w:hAnsi="Candara"/>
        </w:rPr>
      </w:pPr>
    </w:p>
    <w:p w14:paraId="266FEEF5" w14:textId="77777777" w:rsidR="00EB1B60" w:rsidRPr="005D10C1" w:rsidRDefault="00F9384C" w:rsidP="006B0B4F">
      <w:pPr>
        <w:spacing w:line="360" w:lineRule="auto"/>
        <w:rPr>
          <w:rFonts w:ascii="Candara" w:hAnsi="Candara"/>
        </w:rPr>
      </w:pPr>
      <w:r w:rsidRPr="005D10C1">
        <w:rPr>
          <w:rFonts w:ascii="Candara" w:hAnsi="Candara"/>
        </w:rPr>
        <w:t xml:space="preserve">La UARF funciona como un agente fiscal de la Universidad. </w:t>
      </w:r>
      <w:r w:rsidR="00867E34" w:rsidRPr="005D10C1">
        <w:rPr>
          <w:rFonts w:ascii="Candara" w:hAnsi="Candara"/>
        </w:rPr>
        <w:t>Recibe todos los fondos</w:t>
      </w:r>
      <w:r w:rsidRPr="005D10C1">
        <w:rPr>
          <w:rFonts w:ascii="Candara" w:hAnsi="Candara"/>
        </w:rPr>
        <w:t xml:space="preserve">, </w:t>
      </w:r>
      <w:r w:rsidR="00867E34" w:rsidRPr="005D10C1">
        <w:rPr>
          <w:rFonts w:ascii="Candara" w:hAnsi="Candara"/>
        </w:rPr>
        <w:t xml:space="preserve">paga los </w:t>
      </w:r>
      <w:r w:rsidR="00B02781" w:rsidRPr="005D10C1">
        <w:rPr>
          <w:rFonts w:ascii="Candara" w:hAnsi="Candara"/>
        </w:rPr>
        <w:t>costo</w:t>
      </w:r>
      <w:r w:rsidRPr="005D10C1">
        <w:rPr>
          <w:rFonts w:ascii="Candara" w:hAnsi="Candara"/>
        </w:rPr>
        <w:t>s directos</w:t>
      </w:r>
      <w:r w:rsidR="00867E34" w:rsidRPr="005D10C1">
        <w:rPr>
          <w:rFonts w:ascii="Candara" w:hAnsi="Candara"/>
        </w:rPr>
        <w:t xml:space="preserve"> a la universidad</w:t>
      </w:r>
      <w:r w:rsidRPr="005D10C1">
        <w:rPr>
          <w:rFonts w:ascii="Candara" w:hAnsi="Candara"/>
        </w:rPr>
        <w:t xml:space="preserve">, asigna instalaciones y </w:t>
      </w:r>
      <w:r w:rsidR="00867E34" w:rsidRPr="005D10C1">
        <w:rPr>
          <w:rFonts w:ascii="Candara" w:hAnsi="Candara"/>
        </w:rPr>
        <w:t xml:space="preserve">la </w:t>
      </w:r>
      <w:r w:rsidR="00A94B87" w:rsidRPr="005D10C1">
        <w:rPr>
          <w:rFonts w:ascii="Candara" w:hAnsi="Candara"/>
        </w:rPr>
        <w:t>distribuye</w:t>
      </w:r>
      <w:r w:rsidR="00867E34" w:rsidRPr="005D10C1">
        <w:rPr>
          <w:rFonts w:ascii="Candara" w:hAnsi="Candara"/>
        </w:rPr>
        <w:t xml:space="preserve"> </w:t>
      </w:r>
      <w:r w:rsidR="00A94B87" w:rsidRPr="005D10C1">
        <w:rPr>
          <w:rFonts w:ascii="Candara" w:hAnsi="Candara"/>
        </w:rPr>
        <w:t xml:space="preserve">los </w:t>
      </w:r>
      <w:r w:rsidR="00867E34" w:rsidRPr="005D10C1">
        <w:rPr>
          <w:rFonts w:ascii="Candara" w:hAnsi="Candara"/>
        </w:rPr>
        <w:t>costo</w:t>
      </w:r>
      <w:r w:rsidRPr="005D10C1">
        <w:rPr>
          <w:rFonts w:ascii="Candara" w:hAnsi="Candara"/>
        </w:rPr>
        <w:t>s adm</w:t>
      </w:r>
      <w:r w:rsidR="00867E34" w:rsidRPr="005D10C1">
        <w:rPr>
          <w:rFonts w:ascii="Candara" w:hAnsi="Candara"/>
        </w:rPr>
        <w:t>inistrativos (costos indirectos</w:t>
      </w:r>
      <w:r w:rsidRPr="005D10C1">
        <w:rPr>
          <w:rFonts w:ascii="Candara" w:hAnsi="Candara"/>
        </w:rPr>
        <w:t xml:space="preserve">) </w:t>
      </w:r>
      <w:r w:rsidR="00E8086E" w:rsidRPr="005D10C1">
        <w:rPr>
          <w:rFonts w:ascii="Candara" w:hAnsi="Candara"/>
        </w:rPr>
        <w:t>que corresponde a</w:t>
      </w:r>
      <w:r w:rsidRPr="005D10C1">
        <w:rPr>
          <w:rFonts w:ascii="Candara" w:hAnsi="Candara"/>
        </w:rPr>
        <w:t xml:space="preserve"> las unidades de </w:t>
      </w:r>
      <w:r w:rsidR="00E8086E" w:rsidRPr="005D10C1">
        <w:rPr>
          <w:rFonts w:ascii="Candara" w:hAnsi="Candara"/>
        </w:rPr>
        <w:t xml:space="preserve">acuerdo a la </w:t>
      </w:r>
      <w:r w:rsidR="00867E34" w:rsidRPr="005D10C1">
        <w:rPr>
          <w:rFonts w:ascii="Candara" w:hAnsi="Candara"/>
        </w:rPr>
        <w:t>política</w:t>
      </w:r>
      <w:r w:rsidR="00E8086E" w:rsidRPr="005D10C1">
        <w:rPr>
          <w:rFonts w:ascii="Candara" w:hAnsi="Candara"/>
        </w:rPr>
        <w:t xml:space="preserve">, </w:t>
      </w:r>
      <w:r w:rsidR="000D7451" w:rsidRPr="005D10C1">
        <w:rPr>
          <w:rFonts w:ascii="Candara" w:hAnsi="Candara"/>
        </w:rPr>
        <w:t xml:space="preserve">como: </w:t>
      </w:r>
      <w:r w:rsidRPr="005D10C1">
        <w:rPr>
          <w:rFonts w:ascii="Candara" w:hAnsi="Candara"/>
        </w:rPr>
        <w:t>departamento</w:t>
      </w:r>
      <w:r w:rsidR="000D7451" w:rsidRPr="005D10C1">
        <w:rPr>
          <w:rFonts w:ascii="Candara" w:hAnsi="Candara"/>
        </w:rPr>
        <w:t>s</w:t>
      </w:r>
      <w:r w:rsidRPr="005D10C1">
        <w:rPr>
          <w:rFonts w:ascii="Candara" w:hAnsi="Candara"/>
        </w:rPr>
        <w:t xml:space="preserve">, </w:t>
      </w:r>
      <w:r w:rsidR="00B02781" w:rsidRPr="005D10C1">
        <w:rPr>
          <w:rFonts w:ascii="Candara" w:hAnsi="Candara"/>
        </w:rPr>
        <w:t>facultad</w:t>
      </w:r>
      <w:r w:rsidR="000D7451" w:rsidRPr="005D10C1">
        <w:rPr>
          <w:rFonts w:ascii="Candara" w:hAnsi="Candara"/>
        </w:rPr>
        <w:t>es</w:t>
      </w:r>
      <w:r w:rsidRPr="005D10C1">
        <w:rPr>
          <w:rFonts w:ascii="Candara" w:hAnsi="Candara"/>
        </w:rPr>
        <w:t xml:space="preserve">, oficinas de investigación y otros. </w:t>
      </w:r>
      <w:r w:rsidR="00867E34" w:rsidRPr="005D10C1">
        <w:rPr>
          <w:rFonts w:ascii="Candara" w:hAnsi="Candara"/>
        </w:rPr>
        <w:t>T</w:t>
      </w:r>
      <w:r w:rsidRPr="005D10C1">
        <w:rPr>
          <w:rFonts w:ascii="Candara" w:hAnsi="Candara"/>
        </w:rPr>
        <w:t>ambién actúa como agente fis</w:t>
      </w:r>
      <w:r w:rsidR="00867E34" w:rsidRPr="005D10C1">
        <w:rPr>
          <w:rFonts w:ascii="Candara" w:hAnsi="Candara"/>
        </w:rPr>
        <w:t>cal en los acuerdos de licencia</w:t>
      </w:r>
      <w:r w:rsidRPr="005D10C1">
        <w:rPr>
          <w:rFonts w:ascii="Candara" w:hAnsi="Candara"/>
        </w:rPr>
        <w:t>, recib</w:t>
      </w:r>
      <w:r w:rsidR="00E8086E" w:rsidRPr="005D10C1">
        <w:rPr>
          <w:rFonts w:ascii="Candara" w:hAnsi="Candara"/>
        </w:rPr>
        <w:t>e</w:t>
      </w:r>
      <w:r w:rsidRPr="005D10C1">
        <w:rPr>
          <w:rFonts w:ascii="Candara" w:hAnsi="Candara"/>
        </w:rPr>
        <w:t xml:space="preserve"> fondos y </w:t>
      </w:r>
      <w:r w:rsidR="00E8086E" w:rsidRPr="005D10C1">
        <w:rPr>
          <w:rFonts w:ascii="Candara" w:hAnsi="Candara"/>
        </w:rPr>
        <w:t xml:space="preserve">los destina </w:t>
      </w:r>
      <w:r w:rsidRPr="005D10C1">
        <w:rPr>
          <w:rFonts w:ascii="Candara" w:hAnsi="Candara"/>
        </w:rPr>
        <w:t xml:space="preserve">a los </w:t>
      </w:r>
      <w:r w:rsidR="000D7451" w:rsidRPr="005D10C1">
        <w:rPr>
          <w:rFonts w:ascii="Candara" w:hAnsi="Candara"/>
        </w:rPr>
        <w:t>participantes</w:t>
      </w:r>
      <w:r w:rsidRPr="005D10C1">
        <w:rPr>
          <w:rFonts w:ascii="Candara" w:hAnsi="Candara"/>
        </w:rPr>
        <w:t xml:space="preserve"> </w:t>
      </w:r>
      <w:r w:rsidRPr="005D10C1">
        <w:rPr>
          <w:rFonts w:cs="Arial"/>
        </w:rPr>
        <w:t>​​</w:t>
      </w:r>
      <w:r w:rsidRPr="005D10C1">
        <w:rPr>
          <w:rFonts w:ascii="Candara" w:hAnsi="Candara"/>
        </w:rPr>
        <w:t>de acuerd</w:t>
      </w:r>
      <w:r w:rsidR="00E8086E" w:rsidRPr="005D10C1">
        <w:rPr>
          <w:rFonts w:ascii="Candara" w:hAnsi="Candara"/>
        </w:rPr>
        <w:t>o con la política universitaria</w:t>
      </w:r>
      <w:r w:rsidRPr="005D10C1">
        <w:rPr>
          <w:rFonts w:ascii="Candara" w:hAnsi="Candara"/>
        </w:rPr>
        <w:t xml:space="preserve">, </w:t>
      </w:r>
      <w:r w:rsidR="000D7451" w:rsidRPr="005D10C1">
        <w:rPr>
          <w:rFonts w:ascii="Candara" w:hAnsi="Candara"/>
        </w:rPr>
        <w:t>como: los inventores</w:t>
      </w:r>
      <w:r w:rsidRPr="005D10C1">
        <w:rPr>
          <w:rFonts w:ascii="Candara" w:hAnsi="Candara"/>
        </w:rPr>
        <w:t>, programas de investiga</w:t>
      </w:r>
      <w:r w:rsidR="000D7451" w:rsidRPr="005D10C1">
        <w:rPr>
          <w:rFonts w:ascii="Candara" w:hAnsi="Candara"/>
        </w:rPr>
        <w:t>ción, los presidentes y decanos</w:t>
      </w:r>
      <w:r w:rsidRPr="005D10C1">
        <w:rPr>
          <w:rFonts w:ascii="Candara" w:hAnsi="Candara"/>
        </w:rPr>
        <w:t xml:space="preserve">. </w:t>
      </w:r>
      <w:r w:rsidR="000D7451" w:rsidRPr="005D10C1">
        <w:rPr>
          <w:rFonts w:ascii="Candara" w:hAnsi="Candara"/>
        </w:rPr>
        <w:t>El dinero restante</w:t>
      </w:r>
      <w:r w:rsidR="00A94B87" w:rsidRPr="005D10C1">
        <w:rPr>
          <w:rFonts w:ascii="Candara" w:hAnsi="Candara"/>
        </w:rPr>
        <w:t xml:space="preserve"> </w:t>
      </w:r>
      <w:r w:rsidR="000D7451" w:rsidRPr="005D10C1">
        <w:rPr>
          <w:rFonts w:ascii="Candara" w:hAnsi="Candara"/>
        </w:rPr>
        <w:t>es utilizado</w:t>
      </w:r>
      <w:r w:rsidRPr="005D10C1">
        <w:rPr>
          <w:rFonts w:ascii="Candara" w:hAnsi="Candara"/>
        </w:rPr>
        <w:t xml:space="preserve"> para el crecimiento de la Universidad </w:t>
      </w:r>
      <w:r w:rsidR="000D7451" w:rsidRPr="005D10C1">
        <w:rPr>
          <w:rFonts w:ascii="Candara" w:hAnsi="Candara"/>
        </w:rPr>
        <w:t>relacionado</w:t>
      </w:r>
      <w:r w:rsidR="00A94B87" w:rsidRPr="005D10C1">
        <w:rPr>
          <w:rFonts w:ascii="Candara" w:hAnsi="Candara"/>
        </w:rPr>
        <w:t xml:space="preserve"> </w:t>
      </w:r>
      <w:r w:rsidR="000D7451" w:rsidRPr="005D10C1">
        <w:rPr>
          <w:rFonts w:ascii="Candara" w:hAnsi="Candara"/>
        </w:rPr>
        <w:t>con</w:t>
      </w:r>
      <w:r w:rsidRPr="005D10C1">
        <w:rPr>
          <w:rFonts w:ascii="Candara" w:hAnsi="Candara"/>
        </w:rPr>
        <w:t xml:space="preserve"> los programas </w:t>
      </w:r>
      <w:r w:rsidR="000D7451" w:rsidRPr="005D10C1">
        <w:rPr>
          <w:rFonts w:ascii="Candara" w:hAnsi="Candara"/>
        </w:rPr>
        <w:t xml:space="preserve">de </w:t>
      </w:r>
      <w:r w:rsidRPr="005D10C1">
        <w:rPr>
          <w:rFonts w:ascii="Candara" w:hAnsi="Candara"/>
        </w:rPr>
        <w:t>investigación</w:t>
      </w:r>
      <w:r w:rsidR="00D70AC9" w:rsidRPr="005D10C1">
        <w:rPr>
          <w:rFonts w:ascii="Candara" w:hAnsi="Candara"/>
        </w:rPr>
        <w:t xml:space="preserve"> </w:t>
      </w:r>
      <w:r w:rsidR="003B0D24" w:rsidRPr="005D10C1">
        <w:rPr>
          <w:rFonts w:ascii="Candara" w:hAnsi="Candara"/>
        </w:rPr>
        <w:fldChar w:fldCharType="begin" w:fldLock="1"/>
      </w:r>
      <w:r w:rsidR="00CA1A09" w:rsidRPr="005D10C1">
        <w:rPr>
          <w:rFonts w:ascii="Candara" w:hAnsi="Candara"/>
        </w:rPr>
        <w:instrText>ADDIN CSL_CITATION { "citationItems" : [ { "id" : "ITEM-1", "itemData" : { "author" : [ { "dropping-particle" : "", "family" : "Watkins", "given" : "Wayne", "non-dropping-particle" : "", "parse-names" : false, "suffix" : "" } ], "id" : "ITEM-1", "issued" : { "date-parts" : [ [ "2010" ] ] }, "page" : "26", "publisher-place" : "Akron", "title" : "From the Lab Bench to the Marketplace : Improving Technology Transfer", "type" : "article" }, "uris" : [ "http://www.mendeley.com/documents/?uuid=ab0d60fe-33a6-4adb-8fb6-65f6cf9f533a", "http://www.mendeley.com/documents/?uuid=4b09d4a9-0220-41f2-a509-a76b4ce44378" ] } ], "mendeley" : { "previouslyFormattedCitation" : "(Watkins, 2010)" }, "properties" : { "noteIndex" : 0 }, "schema" : "https://github.com/citation-style-language/schema/raw/master/csl-citation.json" }</w:instrText>
      </w:r>
      <w:r w:rsidR="003B0D24" w:rsidRPr="005D10C1">
        <w:rPr>
          <w:rFonts w:ascii="Candara" w:hAnsi="Candara"/>
        </w:rPr>
        <w:fldChar w:fldCharType="separate"/>
      </w:r>
      <w:r w:rsidR="004D1C82" w:rsidRPr="005D10C1">
        <w:rPr>
          <w:rFonts w:ascii="Candara" w:hAnsi="Candara"/>
          <w:noProof/>
        </w:rPr>
        <w:t>(Watkins, 2010)</w:t>
      </w:r>
      <w:r w:rsidR="003B0D24" w:rsidRPr="005D10C1">
        <w:rPr>
          <w:rFonts w:ascii="Candara" w:hAnsi="Candara"/>
        </w:rPr>
        <w:fldChar w:fldCharType="end"/>
      </w:r>
      <w:r w:rsidR="002B0577" w:rsidRPr="005D10C1">
        <w:rPr>
          <w:rFonts w:ascii="Candara" w:hAnsi="Candara"/>
        </w:rPr>
        <w:t>.</w:t>
      </w:r>
    </w:p>
    <w:p w14:paraId="2F2EEA12" w14:textId="77777777" w:rsidR="00C815FD" w:rsidRPr="005D10C1" w:rsidRDefault="008B4C7D">
      <w:pPr>
        <w:pStyle w:val="Ttulo2"/>
        <w:rPr>
          <w:rFonts w:ascii="Candara" w:hAnsi="Candara"/>
          <w:color w:val="auto"/>
        </w:rPr>
      </w:pPr>
      <w:bookmarkStart w:id="239" w:name="_Toc365878857"/>
      <w:bookmarkStart w:id="240" w:name="_Toc377653147"/>
      <w:r w:rsidRPr="005D10C1">
        <w:rPr>
          <w:rFonts w:ascii="Candara" w:hAnsi="Candara"/>
          <w:color w:val="auto"/>
        </w:rPr>
        <w:t>Brasil</w:t>
      </w:r>
      <w:bookmarkEnd w:id="239"/>
      <w:bookmarkEnd w:id="240"/>
    </w:p>
    <w:p w14:paraId="35D68FCD" w14:textId="77777777" w:rsidR="00433EFA" w:rsidRPr="005D10C1" w:rsidRDefault="00433EFA" w:rsidP="006B0B4F">
      <w:pPr>
        <w:spacing w:line="360" w:lineRule="auto"/>
        <w:rPr>
          <w:rFonts w:ascii="Candara" w:hAnsi="Candara"/>
        </w:rPr>
      </w:pPr>
    </w:p>
    <w:p w14:paraId="03578E75" w14:textId="77777777" w:rsidR="00A57282" w:rsidRPr="005D10C1" w:rsidRDefault="00A57282" w:rsidP="006B0B4F">
      <w:pPr>
        <w:spacing w:line="360" w:lineRule="auto"/>
        <w:rPr>
          <w:rFonts w:ascii="Candara" w:hAnsi="Candara"/>
          <w:i/>
        </w:rPr>
      </w:pPr>
      <w:r w:rsidRPr="005D10C1">
        <w:rPr>
          <w:rFonts w:ascii="Candara" w:hAnsi="Candara"/>
          <w:i/>
        </w:rPr>
        <w:t>El fenómeno spin-off</w:t>
      </w:r>
    </w:p>
    <w:p w14:paraId="5100CFF5" w14:textId="77777777" w:rsidR="006D4C6D" w:rsidRPr="005D10C1" w:rsidRDefault="006D4C6D" w:rsidP="006B0B4F">
      <w:pPr>
        <w:spacing w:line="360" w:lineRule="auto"/>
        <w:rPr>
          <w:rFonts w:ascii="Candara" w:hAnsi="Candara"/>
        </w:rPr>
      </w:pPr>
    </w:p>
    <w:p w14:paraId="2736BF59" w14:textId="77777777" w:rsidR="006D4C6D" w:rsidRPr="005D10C1" w:rsidRDefault="006D4C6D" w:rsidP="006B0B4F">
      <w:pPr>
        <w:spacing w:line="360" w:lineRule="auto"/>
        <w:rPr>
          <w:rFonts w:ascii="Candara" w:hAnsi="Candara"/>
        </w:rPr>
      </w:pPr>
      <w:r w:rsidRPr="005D10C1">
        <w:rPr>
          <w:rFonts w:ascii="Candara" w:hAnsi="Candara"/>
        </w:rPr>
        <w:t xml:space="preserve">A pesar de la importancia teórica y empírica de las spin-offs universitarias, en el caso brasilero, son pocas investigaciones sobre estas organizaciones que las determinan como un fenómeno </w:t>
      </w:r>
      <w:r w:rsidR="000834D1" w:rsidRPr="005D10C1">
        <w:rPr>
          <w:rFonts w:ascii="Candara" w:hAnsi="Candara"/>
        </w:rPr>
        <w:t xml:space="preserve">incipiente </w:t>
      </w:r>
      <w:r w:rsidR="003B0D24" w:rsidRPr="005D10C1">
        <w:rPr>
          <w:rFonts w:ascii="Candara" w:hAnsi="Candara"/>
        </w:rPr>
        <w:fldChar w:fldCharType="begin" w:fldLock="1"/>
      </w:r>
      <w:r w:rsidR="00CA1A09" w:rsidRPr="005D10C1">
        <w:rPr>
          <w:rFonts w:ascii="Candara" w:hAnsi="Candara"/>
        </w:rPr>
        <w:instrText>ADDIN CSL_CITATION { "citationItems" : [ { "id" : "ITEM-1", "itemData" : { "DOI" : "10.5773/rai.v8i4.698", "ISSN" : "1809-2039", "author" : [ { "dropping-particle" : "", "family" : "Freitas", "given" : "Jonathan Sim\u00f5es", "non-dropping-particle" : "", "parse-names" : false, "suffix" : "" }, { "dropping-particle" : "", "family" : "Gon\u00e7alves", "given" : "Carlos Alberto", "non-dropping-particle" : "", "parse-names" : false, "suffix" : "" }, { "dropping-particle" : "", "family" : "Cheng", "given" : "Lin Chih", "non-dropping-particle" : "", "parse-names" : false, "suffix" : "" }, { "dropping-particle" : "", "family" : "Muniz", "given" : "Reynaldo Maia", "non-dropping-particle" : "", "parse-names" : false, "suffix" : "" } ], "container-title" : "Review of Administration and Innovation - RAI", "id" : "ITEM-1", "issue" : "4", "issued" : { "date-parts" : [ [ "2012", "1", "27" ] ] }, "title" : "the Academic Spin-Off Phenomenon: Structuring a New Field of Research in Brazil", "type" : "article-journal", "volume" : "8" }, "uris" : [ "http://www.mendeley.com/documents/?uuid=408f7cc9-a295-42ad-877a-63ce7a4c9865" ] } ], "mendeley" : { "previouslyFormattedCitation" : "(Freitas, Gon\u00e7alves, Cheng, &amp; Muniz, 2012)" }, "properties" : { "noteIndex" : 0 }, "schema" : "https://github.com/citation-style-language/schema/raw/master/csl-citation.json" }</w:instrText>
      </w:r>
      <w:r w:rsidR="003B0D24" w:rsidRPr="005D10C1">
        <w:rPr>
          <w:rFonts w:ascii="Candara" w:hAnsi="Candara"/>
        </w:rPr>
        <w:fldChar w:fldCharType="separate"/>
      </w:r>
      <w:r w:rsidRPr="005D10C1">
        <w:rPr>
          <w:rFonts w:ascii="Candara" w:hAnsi="Candara"/>
          <w:noProof/>
        </w:rPr>
        <w:t>(Freitas, Gonçalves, Cheng, &amp; Muniz, 2012)</w:t>
      </w:r>
      <w:r w:rsidR="003B0D24" w:rsidRPr="005D10C1">
        <w:rPr>
          <w:rFonts w:ascii="Candara" w:hAnsi="Candara"/>
        </w:rPr>
        <w:fldChar w:fldCharType="end"/>
      </w:r>
      <w:r w:rsidRPr="005D10C1">
        <w:rPr>
          <w:rFonts w:ascii="Candara" w:hAnsi="Candara"/>
        </w:rPr>
        <w:t>.</w:t>
      </w:r>
    </w:p>
    <w:p w14:paraId="7A578EE6" w14:textId="77777777" w:rsidR="0095785C" w:rsidRPr="005D10C1" w:rsidRDefault="0095785C" w:rsidP="0095785C">
      <w:pPr>
        <w:spacing w:line="360" w:lineRule="auto"/>
        <w:rPr>
          <w:rFonts w:ascii="Candara" w:hAnsi="Candara"/>
        </w:rPr>
      </w:pPr>
      <w:r w:rsidRPr="005D10C1">
        <w:rPr>
          <w:rFonts w:ascii="Candara" w:hAnsi="Candara"/>
        </w:rPr>
        <w:lastRenderedPageBreak/>
        <w:t>El proceso de creación de empresas por parte de académicos es un tema relativamente nuevo en Brasil y, por ello, aún no hay datos disponibles y consolidados de los impactos económicos directos, indirectos e intangibles que generan este tipo de compañías.</w:t>
      </w:r>
    </w:p>
    <w:p w14:paraId="0C11F808" w14:textId="77777777" w:rsidR="001137CC" w:rsidRPr="005D10C1" w:rsidRDefault="001137CC" w:rsidP="006B0B4F">
      <w:pPr>
        <w:spacing w:line="360" w:lineRule="auto"/>
        <w:rPr>
          <w:rFonts w:ascii="Candara" w:hAnsi="Candara"/>
        </w:rPr>
      </w:pPr>
    </w:p>
    <w:p w14:paraId="286502BB" w14:textId="77777777" w:rsidR="00F67875" w:rsidRPr="005D10C1" w:rsidRDefault="00961B05" w:rsidP="00F67875">
      <w:pPr>
        <w:spacing w:line="360" w:lineRule="auto"/>
        <w:rPr>
          <w:rFonts w:ascii="Candara" w:hAnsi="Candara"/>
        </w:rPr>
      </w:pPr>
      <w:r w:rsidRPr="005D10C1">
        <w:rPr>
          <w:rFonts w:ascii="Candara" w:hAnsi="Candara"/>
        </w:rPr>
        <w:t>En Brasil se considera a l</w:t>
      </w:r>
      <w:r w:rsidR="00F67875" w:rsidRPr="005D10C1">
        <w:rPr>
          <w:rFonts w:ascii="Candara" w:hAnsi="Candara"/>
        </w:rPr>
        <w:t xml:space="preserve">as </w:t>
      </w:r>
      <w:r w:rsidR="00F67875" w:rsidRPr="005D10C1">
        <w:rPr>
          <w:rFonts w:ascii="Candara" w:hAnsi="Candara"/>
          <w:i/>
        </w:rPr>
        <w:t xml:space="preserve">spin-off </w:t>
      </w:r>
      <w:r w:rsidR="00F67875" w:rsidRPr="005D10C1">
        <w:rPr>
          <w:rFonts w:ascii="Candara" w:hAnsi="Candara"/>
        </w:rPr>
        <w:t xml:space="preserve">universitarias son empresas que surgen de la transferencia de una tecnología central desarrollada dentro de una institución académica. El equipo emprendedor, por lo general, puede incluir al inventor de la tecnología-quien puede o no estar afiliado con la institución matriz </w:t>
      </w:r>
      <w:r w:rsidR="003B0D24" w:rsidRPr="005D10C1">
        <w:rPr>
          <w:rFonts w:ascii="Candara" w:hAnsi="Candara"/>
        </w:rPr>
        <w:fldChar w:fldCharType="begin" w:fldLock="1"/>
      </w:r>
      <w:r w:rsidR="00CA1A09" w:rsidRPr="005D10C1">
        <w:rPr>
          <w:rFonts w:ascii="Candara" w:hAnsi="Candara"/>
        </w:rPr>
        <w:instrText>ADDIN CSL_CITATION { "citationItems" : [ { "id" : "ITEM-1", "itemData" : { "DOI" : "10.1016/j.techfore.2012.04.021", "ISSN" : "00401625", "author" : [ { "dropping-particle" : "", "family" : "Freitas", "given" : "Jonathan Sim\u00f5es", "non-dropping-particle" : "", "parse-names" : false, "suffix" : "" }, { "dropping-particle" : "", "family" : "Gon\u00e7alves", "given" : "Carlos Alberto", "non-dropping-particle" : "", "parse-names" : false, "suffix" : "" }, { "dropping-particle" : "", "family" : "Cheng", "given" : "Lin Chih", "non-dropping-particle" : "", "parse-names" : false, "suffix" : "" }, { "dropping-particle" : "", "family" : "Muniz", "given" : "Reynaldo Maia", "non-dropping-particle" : "", "parse-names" : false, "suffix" : "" } ], "container-title" : "Technological Forecasting and Social Change", "id" : "ITEM-1", "issue" : "6", "issued" : { "date-parts" : [ [ "2013", "7" ] ] }, "page" : "1162-1178", "title" : "Structuration aspects in academic spin-off emergence: A roadmap-based analysis", "type" : "article-journal", "volume" : "80" }, "uris" : [ "http://www.mendeley.com/documents/?uuid=d477b2d2-bc61-44b0-9054-14560765880a" ] } ], "mendeley" : { "previouslyFormattedCitation" : "(Freitas, Gon\u00e7alves, Cheng, &amp; Muniz, 2013)" }, "properties" : { "noteIndex" : 0 }, "schema" : "https://github.com/citation-style-language/schema/raw/master/csl-citation.json" }</w:instrText>
      </w:r>
      <w:r w:rsidR="003B0D24" w:rsidRPr="005D10C1">
        <w:rPr>
          <w:rFonts w:ascii="Candara" w:hAnsi="Candara"/>
        </w:rPr>
        <w:fldChar w:fldCharType="separate"/>
      </w:r>
      <w:r w:rsidR="00F67875" w:rsidRPr="005D10C1">
        <w:rPr>
          <w:rFonts w:ascii="Candara" w:hAnsi="Candara"/>
          <w:noProof/>
        </w:rPr>
        <w:t>(Freitas, Gonçalves, Cheng, &amp; Muniz, 2013)</w:t>
      </w:r>
      <w:r w:rsidR="003B0D24" w:rsidRPr="005D10C1">
        <w:rPr>
          <w:rFonts w:ascii="Candara" w:hAnsi="Candara"/>
        </w:rPr>
        <w:fldChar w:fldCharType="end"/>
      </w:r>
      <w:r w:rsidR="00F67875" w:rsidRPr="005D10C1">
        <w:rPr>
          <w:rFonts w:ascii="Candara" w:hAnsi="Candara"/>
        </w:rPr>
        <w:t xml:space="preserve">. </w:t>
      </w:r>
    </w:p>
    <w:p w14:paraId="46267FC6" w14:textId="77777777" w:rsidR="00F67875" w:rsidRPr="005D10C1" w:rsidRDefault="00F67875" w:rsidP="006B0B4F">
      <w:pPr>
        <w:spacing w:line="360" w:lineRule="auto"/>
        <w:rPr>
          <w:rFonts w:ascii="Candara" w:hAnsi="Candara"/>
        </w:rPr>
      </w:pPr>
    </w:p>
    <w:p w14:paraId="4E009F7A" w14:textId="77777777" w:rsidR="004C5950" w:rsidRPr="005D10C1" w:rsidRDefault="004C5950" w:rsidP="006B0B4F">
      <w:pPr>
        <w:spacing w:line="360" w:lineRule="auto"/>
        <w:rPr>
          <w:rFonts w:ascii="Candara" w:hAnsi="Candara"/>
        </w:rPr>
      </w:pPr>
    </w:p>
    <w:p w14:paraId="08F2EF47" w14:textId="77777777" w:rsidR="009714C8" w:rsidRPr="005D10C1" w:rsidRDefault="009714C8" w:rsidP="009714C8">
      <w:pPr>
        <w:pStyle w:val="Ttulo3"/>
        <w:rPr>
          <w:rFonts w:ascii="Candara" w:hAnsi="Candara"/>
          <w:color w:val="auto"/>
        </w:rPr>
      </w:pPr>
      <w:bookmarkStart w:id="241" w:name="_Toc377653148"/>
      <w:r w:rsidRPr="005D10C1">
        <w:rPr>
          <w:rFonts w:ascii="Candara" w:hAnsi="Candara"/>
          <w:color w:val="auto"/>
        </w:rPr>
        <w:t>Naturaleza y desarrollo del sistema de innovación</w:t>
      </w:r>
      <w:bookmarkEnd w:id="241"/>
    </w:p>
    <w:p w14:paraId="6AD2361B" w14:textId="77777777" w:rsidR="009714C8" w:rsidRPr="005D10C1" w:rsidRDefault="009714C8" w:rsidP="006B0B4F">
      <w:pPr>
        <w:spacing w:line="360" w:lineRule="auto"/>
        <w:rPr>
          <w:rFonts w:ascii="Candara" w:hAnsi="Candara"/>
        </w:rPr>
      </w:pPr>
    </w:p>
    <w:p w14:paraId="1D72964F" w14:textId="77777777" w:rsidR="00544115" w:rsidRPr="005D10C1" w:rsidRDefault="00544115" w:rsidP="00544115">
      <w:pPr>
        <w:spacing w:line="360" w:lineRule="auto"/>
        <w:rPr>
          <w:rFonts w:ascii="Candara" w:hAnsi="Candara"/>
        </w:rPr>
      </w:pPr>
      <w:r w:rsidRPr="005D10C1">
        <w:rPr>
          <w:rFonts w:ascii="Candara" w:hAnsi="Candara"/>
        </w:rPr>
        <w:t>Para la creación del sistema Nacional de Ciencia y Tecnología brasilero se realizaron cambios graduales en políticas lo cual ha permitido su estructuración. Algunos de estos cambios pueden favorecer el desarrollo de las spin-off, tal como se menciona a continuación.</w:t>
      </w:r>
    </w:p>
    <w:p w14:paraId="4FFD08C6" w14:textId="77777777" w:rsidR="001137CC" w:rsidRPr="005D10C1" w:rsidRDefault="001137CC" w:rsidP="006B0B4F">
      <w:pPr>
        <w:spacing w:line="360" w:lineRule="auto"/>
        <w:rPr>
          <w:rFonts w:ascii="Candara" w:hAnsi="Candara"/>
        </w:rPr>
      </w:pPr>
    </w:p>
    <w:p w14:paraId="394676FC" w14:textId="77777777" w:rsidR="00144FAA" w:rsidRPr="005D10C1" w:rsidRDefault="00E1777F" w:rsidP="00144FAA">
      <w:pPr>
        <w:spacing w:line="360" w:lineRule="auto"/>
        <w:rPr>
          <w:rFonts w:ascii="Candara" w:hAnsi="Candara"/>
        </w:rPr>
      </w:pPr>
      <w:r w:rsidRPr="005D10C1">
        <w:rPr>
          <w:rFonts w:ascii="Candara" w:hAnsi="Candara"/>
        </w:rPr>
        <w:t>L</w:t>
      </w:r>
      <w:r w:rsidR="006E0FA6" w:rsidRPr="005D10C1">
        <w:rPr>
          <w:rFonts w:ascii="Candara" w:hAnsi="Candara"/>
        </w:rPr>
        <w:t>a década de 1950 es c</w:t>
      </w:r>
      <w:r w:rsidR="001137CC" w:rsidRPr="005D10C1">
        <w:rPr>
          <w:rFonts w:ascii="Candara" w:hAnsi="Candara"/>
        </w:rPr>
        <w:t>onsiderada un punto de partida de</w:t>
      </w:r>
      <w:r w:rsidR="006E0FA6" w:rsidRPr="005D10C1">
        <w:rPr>
          <w:rFonts w:ascii="Candara" w:hAnsi="Candara"/>
        </w:rPr>
        <w:t xml:space="preserve"> la política de Ciencia Tecnología e innovación con la creación </w:t>
      </w:r>
      <w:r w:rsidR="006E0FA6" w:rsidRPr="005D10C1">
        <w:rPr>
          <w:rFonts w:ascii="Candara" w:hAnsi="Candara"/>
          <w:i/>
        </w:rPr>
        <w:t xml:space="preserve">del </w:t>
      </w:r>
      <w:r w:rsidR="008D6185" w:rsidRPr="005D10C1">
        <w:rPr>
          <w:rFonts w:ascii="Candara" w:hAnsi="Candara"/>
          <w:i/>
        </w:rPr>
        <w:t>Conselho Nacional de desenvolvimento Científico e Tecnológico</w:t>
      </w:r>
      <w:r w:rsidR="001137CC" w:rsidRPr="005D10C1">
        <w:rPr>
          <w:rFonts w:ascii="Candara" w:hAnsi="Candara"/>
          <w:i/>
        </w:rPr>
        <w:t xml:space="preserve"> </w:t>
      </w:r>
      <w:r w:rsidR="008D6185" w:rsidRPr="005D10C1">
        <w:rPr>
          <w:rFonts w:ascii="Candara" w:hAnsi="Candara"/>
        </w:rPr>
        <w:t>CNPq -</w:t>
      </w:r>
      <w:r w:rsidR="006E0FA6" w:rsidRPr="005D10C1">
        <w:rPr>
          <w:rFonts w:ascii="Candara" w:hAnsi="Candara"/>
        </w:rPr>
        <w:t>Consejo Nacional de Desarrollo Científico y Tecnológico</w:t>
      </w:r>
      <w:r w:rsidR="008D6185" w:rsidRPr="005D10C1">
        <w:rPr>
          <w:rFonts w:ascii="Candara" w:hAnsi="Candara"/>
        </w:rPr>
        <w:t xml:space="preserve">- y la </w:t>
      </w:r>
      <w:r w:rsidR="0028179C" w:rsidRPr="005D10C1">
        <w:rPr>
          <w:rFonts w:ascii="Candara" w:hAnsi="Candara"/>
          <w:i/>
        </w:rPr>
        <w:t>Coordenação de Aperfeiçoamento de Pessoal de Ensino  Superior</w:t>
      </w:r>
      <w:r w:rsidR="007E4EFF" w:rsidRPr="005D10C1">
        <w:rPr>
          <w:rFonts w:ascii="Candara" w:hAnsi="Candara"/>
          <w:i/>
        </w:rPr>
        <w:t xml:space="preserve"> </w:t>
      </w:r>
      <w:r w:rsidR="0028179C" w:rsidRPr="005D10C1">
        <w:rPr>
          <w:rFonts w:ascii="Candara" w:hAnsi="Candara"/>
          <w:i/>
        </w:rPr>
        <w:t>CAPES</w:t>
      </w:r>
      <w:r w:rsidR="009E0FBC" w:rsidRPr="005D10C1">
        <w:rPr>
          <w:rFonts w:ascii="Candara" w:hAnsi="Candara"/>
        </w:rPr>
        <w:t xml:space="preserve"> </w:t>
      </w:r>
      <w:r w:rsidR="003B0D24" w:rsidRPr="005D10C1">
        <w:rPr>
          <w:rFonts w:ascii="Candara" w:hAnsi="Candara"/>
        </w:rPr>
        <w:fldChar w:fldCharType="begin" w:fldLock="1"/>
      </w:r>
      <w:r w:rsidR="00CA1A09" w:rsidRPr="005D10C1">
        <w:rPr>
          <w:rFonts w:ascii="Candara" w:hAnsi="Candara"/>
        </w:rPr>
        <w:instrText>ADDIN CSL_CITATION { "citationItems" : [ { "id" : "ITEM-1", "itemData" : { "abstract" : "XXII Simp\u00f3sio de Gest\u00e3o da Inova\u00e7\u00e3o Tecnol\u00f3gica", "author" : [ { "dropping-particle" : "", "family" : "Valle", "given" : "M", "non-dropping-particle" : "", "parse-names" : false, "suffix" : "" }, { "dropping-particle" : "", "family" : "Bonacelli", "given" : "M", "non-dropping-particle" : "", "parse-names" : false, "suffix" : "" }, { "dropping-particle" : "", "family" : "Salles-Filho", "given" : "M", "non-dropping-particle" : "", "parse-names" : false, "suffix" : "" } ], "container-title" : "\u2026 de Gest\u00e3o da Inova\u00e7\u00e3o \u2026", "id" : "ITEM-1", "issued" : { "date-parts" : [ [ "2002" ] ] }, "publisher-place" : "Salvador", "title" : "Os fundos setoriais ea pol\u00edtica nacional de ci\u00eancia, tecnologia e inova\u00e7\u00e3o", "type" : "article" }, "uris" : [ "http://www.mendeley.com/documents/?uuid=2df86bcf-3084-4a15-8b61-ba8bf60c8231" ] } ], "mendeley" : { "previouslyFormattedCitation" : "(Valle, Bonacelli, &amp; Salles-Filho, 2002)" }, "properties" : { "noteIndex" : 0 }, "schema" : "https://github.com/citation-style-language/schema/raw/master/csl-citation.json" }</w:instrText>
      </w:r>
      <w:r w:rsidR="003B0D24" w:rsidRPr="005D10C1">
        <w:rPr>
          <w:rFonts w:ascii="Candara" w:hAnsi="Candara"/>
        </w:rPr>
        <w:fldChar w:fldCharType="separate"/>
      </w:r>
      <w:r w:rsidR="00D2437A" w:rsidRPr="005D10C1">
        <w:rPr>
          <w:rFonts w:ascii="Candara" w:hAnsi="Candara"/>
          <w:noProof/>
        </w:rPr>
        <w:t>(Valle, Bonacelli, &amp; Salles-Filho, 2002)</w:t>
      </w:r>
      <w:r w:rsidR="003B0D24" w:rsidRPr="005D10C1">
        <w:rPr>
          <w:rFonts w:ascii="Candara" w:hAnsi="Candara"/>
        </w:rPr>
        <w:fldChar w:fldCharType="end"/>
      </w:r>
      <w:r w:rsidRPr="005D10C1">
        <w:rPr>
          <w:rFonts w:ascii="Candara" w:hAnsi="Candara"/>
        </w:rPr>
        <w:t>.</w:t>
      </w:r>
      <w:r w:rsidR="00C043BA" w:rsidRPr="005D10C1">
        <w:rPr>
          <w:rFonts w:ascii="Candara" w:hAnsi="Candara"/>
        </w:rPr>
        <w:t xml:space="preserve"> Posteriormente,</w:t>
      </w:r>
      <w:r w:rsidRPr="005D10C1">
        <w:rPr>
          <w:rFonts w:ascii="Candara" w:hAnsi="Candara"/>
        </w:rPr>
        <w:t xml:space="preserve"> a finales de la década de 1960 </w:t>
      </w:r>
      <w:r w:rsidR="00D91B29" w:rsidRPr="005D10C1">
        <w:rPr>
          <w:rFonts w:ascii="Candara" w:hAnsi="Candara"/>
        </w:rPr>
        <w:t xml:space="preserve">por un esfuerzo planeación  gubernamental se creó el </w:t>
      </w:r>
      <w:r w:rsidR="00D91B29" w:rsidRPr="005D10C1">
        <w:rPr>
          <w:rFonts w:ascii="Candara" w:hAnsi="Candara"/>
          <w:i/>
        </w:rPr>
        <w:t>Fundo Nacional de Desenvolvimento Científico e Tecnológico</w:t>
      </w:r>
      <w:r w:rsidR="00D91B29" w:rsidRPr="005D10C1">
        <w:rPr>
          <w:rFonts w:ascii="Candara" w:hAnsi="Candara"/>
        </w:rPr>
        <w:t xml:space="preserve"> FNDCT</w:t>
      </w:r>
      <w:r w:rsidR="00544115" w:rsidRPr="005D10C1">
        <w:rPr>
          <w:rFonts w:ascii="Candara" w:hAnsi="Candara"/>
        </w:rPr>
        <w:t xml:space="preserve"> </w:t>
      </w:r>
      <w:r w:rsidR="00C043BA" w:rsidRPr="005D10C1">
        <w:rPr>
          <w:rFonts w:ascii="Candara" w:hAnsi="Candara"/>
        </w:rPr>
        <w:t>-Fondo N</w:t>
      </w:r>
      <w:r w:rsidR="00D91B29" w:rsidRPr="005D10C1">
        <w:rPr>
          <w:rFonts w:ascii="Candara" w:hAnsi="Candara"/>
        </w:rPr>
        <w:t>acional de</w:t>
      </w:r>
      <w:r w:rsidR="00C043BA" w:rsidRPr="005D10C1">
        <w:rPr>
          <w:rFonts w:ascii="Candara" w:hAnsi="Candara"/>
        </w:rPr>
        <w:t xml:space="preserve"> </w:t>
      </w:r>
      <w:r w:rsidR="00D91B29" w:rsidRPr="005D10C1">
        <w:rPr>
          <w:rFonts w:ascii="Candara" w:hAnsi="Candara"/>
        </w:rPr>
        <w:t>Desarrollo Científico y Tecnológico</w:t>
      </w:r>
      <w:r w:rsidR="00C043BA" w:rsidRPr="005D10C1">
        <w:rPr>
          <w:rFonts w:ascii="Candara" w:hAnsi="Candara"/>
        </w:rPr>
        <w:t>-</w:t>
      </w:r>
      <w:r w:rsidR="00D91B29" w:rsidRPr="005D10C1">
        <w:rPr>
          <w:rFonts w:ascii="Candara" w:hAnsi="Candara"/>
        </w:rPr>
        <w:t xml:space="preserve"> y </w:t>
      </w:r>
      <w:r w:rsidR="00C043BA" w:rsidRPr="005D10C1">
        <w:rPr>
          <w:rFonts w:ascii="Candara" w:hAnsi="Candara"/>
        </w:rPr>
        <w:t>se elaboró</w:t>
      </w:r>
      <w:r w:rsidR="00D91B29" w:rsidRPr="005D10C1">
        <w:rPr>
          <w:rFonts w:ascii="Candara" w:hAnsi="Candara"/>
        </w:rPr>
        <w:t xml:space="preserve"> </w:t>
      </w:r>
      <w:r w:rsidR="00C043BA" w:rsidRPr="005D10C1">
        <w:rPr>
          <w:rFonts w:ascii="Candara" w:hAnsi="Candara"/>
        </w:rPr>
        <w:t>el</w:t>
      </w:r>
      <w:r w:rsidR="00D91B29" w:rsidRPr="005D10C1">
        <w:rPr>
          <w:rFonts w:ascii="Candara" w:hAnsi="Candara"/>
        </w:rPr>
        <w:t xml:space="preserve"> </w:t>
      </w:r>
      <w:r w:rsidR="00D91B29" w:rsidRPr="005D10C1">
        <w:rPr>
          <w:rFonts w:ascii="Candara" w:hAnsi="Candara"/>
          <w:i/>
        </w:rPr>
        <w:t>Plano Básico de Desenvolvimento Científico e Tecnológico</w:t>
      </w:r>
      <w:r w:rsidR="00C043BA" w:rsidRPr="005D10C1">
        <w:rPr>
          <w:rFonts w:ascii="Candara" w:hAnsi="Candara"/>
          <w:i/>
        </w:rPr>
        <w:t xml:space="preserve"> </w:t>
      </w:r>
      <w:r w:rsidR="00D91B29" w:rsidRPr="005D10C1">
        <w:rPr>
          <w:rFonts w:ascii="Candara" w:hAnsi="Candara"/>
        </w:rPr>
        <w:t>PBDCT –Plan B</w:t>
      </w:r>
      <w:r w:rsidR="00544115" w:rsidRPr="005D10C1">
        <w:rPr>
          <w:rFonts w:ascii="Candara" w:hAnsi="Candara"/>
        </w:rPr>
        <w:t xml:space="preserve">ásico de Desarrollo Científico y </w:t>
      </w:r>
      <w:r w:rsidR="00D91B29" w:rsidRPr="005D10C1">
        <w:rPr>
          <w:rFonts w:ascii="Candara" w:hAnsi="Candara"/>
        </w:rPr>
        <w:t>Tecnológico</w:t>
      </w:r>
      <w:r w:rsidR="00544115" w:rsidRPr="005D10C1">
        <w:rPr>
          <w:rFonts w:ascii="Candara" w:hAnsi="Candara"/>
        </w:rPr>
        <w:t xml:space="preserve">- </w:t>
      </w:r>
      <w:r w:rsidR="003B0D24" w:rsidRPr="005D10C1">
        <w:rPr>
          <w:rFonts w:ascii="Candara" w:hAnsi="Candara"/>
        </w:rPr>
        <w:fldChar w:fldCharType="begin" w:fldLock="1"/>
      </w:r>
      <w:r w:rsidR="00CA1A09" w:rsidRPr="005D10C1">
        <w:rPr>
          <w:rFonts w:ascii="Candara" w:hAnsi="Candara"/>
        </w:rPr>
        <w:instrText>ADDIN CSL_CITATION { "citationItems" : [ { "id" : "ITEM-1", "itemData" : { "author" : [ { "dropping-particle" : "", "family" : "Filho", "given" : "F de Assis Veloso", "non-dropping-particle" : "", "parse-names" : false, "suffix" : "" }, { "dropping-particle" : "", "family" : "Nogueira", "given" : "JM", "non-dropping-particle" : "", "parse-names" : false, "suffix" : "" } ], "container-title" : "\u2026  de Desenvolvimento Local.  \u2026", "id" : "ITEM-1", "issued" : { "date-parts" : [ [ "2006" ] ] }, "title" : "Sistemas de inova\u00e7\u00e3o e promo\u00e7\u00e3o tecnol\u00f3gica regional e local no Brasil", "type" : "article-journal" }, "uris" : [ "http://www.mendeley.com/documents/?uuid=dd99f28c-d1db-4601-8f54-c6ec59d18412" ] } ], "mendeley" : { "previouslyFormattedCitation" : "(Filho &amp; Nogueira, 2006)" }, "properties" : { "noteIndex" : 0 }, "schema" : "https://github.com/citation-style-language/schema/raw/master/csl-citation.json" }</w:instrText>
      </w:r>
      <w:r w:rsidR="003B0D24" w:rsidRPr="005D10C1">
        <w:rPr>
          <w:rFonts w:ascii="Candara" w:hAnsi="Candara"/>
        </w:rPr>
        <w:fldChar w:fldCharType="separate"/>
      </w:r>
      <w:r w:rsidR="006A57C2" w:rsidRPr="005D10C1">
        <w:rPr>
          <w:rFonts w:ascii="Candara" w:hAnsi="Candara"/>
          <w:noProof/>
        </w:rPr>
        <w:t>(Filho &amp; Nogueira, 2006)</w:t>
      </w:r>
      <w:r w:rsidR="003B0D24" w:rsidRPr="005D10C1">
        <w:rPr>
          <w:rFonts w:ascii="Candara" w:hAnsi="Candara"/>
        </w:rPr>
        <w:fldChar w:fldCharType="end"/>
      </w:r>
      <w:r w:rsidR="00D91B29" w:rsidRPr="005D10C1">
        <w:rPr>
          <w:rFonts w:ascii="Candara" w:hAnsi="Candara"/>
        </w:rPr>
        <w:t>.</w:t>
      </w:r>
    </w:p>
    <w:p w14:paraId="5F4F8054" w14:textId="77777777" w:rsidR="00144FAA" w:rsidRPr="005D10C1" w:rsidRDefault="006B0940" w:rsidP="00144FAA">
      <w:pPr>
        <w:spacing w:line="360" w:lineRule="auto"/>
        <w:rPr>
          <w:rFonts w:ascii="Candara" w:hAnsi="Candara"/>
        </w:rPr>
      </w:pPr>
      <w:r w:rsidRPr="005D10C1">
        <w:rPr>
          <w:rFonts w:ascii="Candara" w:hAnsi="Candara"/>
        </w:rPr>
        <w:lastRenderedPageBreak/>
        <w:t>En la década de los 70’s se organiza de forma sistémica teni</w:t>
      </w:r>
      <w:r w:rsidR="00435B88" w:rsidRPr="005D10C1">
        <w:rPr>
          <w:rFonts w:ascii="Candara" w:hAnsi="Candara"/>
        </w:rPr>
        <w:t xml:space="preserve">endo como órgano central al CNPq; en ese mismo período este Consejo se transformó </w:t>
      </w:r>
      <w:r w:rsidR="00144FAA" w:rsidRPr="005D10C1">
        <w:rPr>
          <w:rFonts w:ascii="Candara" w:hAnsi="Candara"/>
        </w:rPr>
        <w:t xml:space="preserve">en el </w:t>
      </w:r>
      <w:r w:rsidR="00144FAA" w:rsidRPr="005D10C1">
        <w:rPr>
          <w:rFonts w:ascii="Candara" w:hAnsi="Candara"/>
          <w:i/>
        </w:rPr>
        <w:t>Conselho Nacional de Desenvolvimento Científico e Tecnológico</w:t>
      </w:r>
      <w:r w:rsidR="00144FAA" w:rsidRPr="005D10C1">
        <w:rPr>
          <w:rFonts w:ascii="Candara" w:hAnsi="Candara"/>
        </w:rPr>
        <w:t xml:space="preserve"> - Consejo Nacional de Desarrollo Científico y Tecnológico, como órgano asesor de formulación de políticas sectoriales, y </w:t>
      </w:r>
      <w:r w:rsidR="00256A9A" w:rsidRPr="005D10C1">
        <w:rPr>
          <w:rFonts w:ascii="Candara" w:hAnsi="Candara"/>
        </w:rPr>
        <w:t xml:space="preserve">se </w:t>
      </w:r>
      <w:r w:rsidR="00144FAA" w:rsidRPr="005D10C1">
        <w:rPr>
          <w:rFonts w:ascii="Candara" w:hAnsi="Candara"/>
        </w:rPr>
        <w:t>creó el Consejo Nacional de Ciencia y Tecnología (CCT)</w:t>
      </w:r>
      <w:r w:rsidR="00CA3966" w:rsidRPr="005D10C1">
        <w:rPr>
          <w:rFonts w:ascii="Candara" w:hAnsi="Candara"/>
        </w:rPr>
        <w:t xml:space="preserve"> </w:t>
      </w:r>
      <w:r w:rsidR="003B0D24" w:rsidRPr="005D10C1">
        <w:rPr>
          <w:rFonts w:ascii="Candara" w:hAnsi="Candara"/>
        </w:rPr>
        <w:fldChar w:fldCharType="begin" w:fldLock="1"/>
      </w:r>
      <w:r w:rsidR="00CA1A09" w:rsidRPr="005D10C1">
        <w:rPr>
          <w:rFonts w:ascii="Candara" w:hAnsi="Candara"/>
        </w:rPr>
        <w:instrText>ADDIN CSL_CITATION { "citationItems" : [ { "id" : "ITEM-1", "itemData" : { "ISSN" : "2317-286X", "abstract" : "Nas \u00faltimas d\u00e9cadas, reconheceu-se a import\u00e2ncia das inova\u00e7\u00f5es e afirma-se que vivemos a era da \u201csociedade da informa\u00e7\u00e3o\u201d ou da \u201ceconomia do conhecimento\u201d. O conhecimento sempre foi importante, a novidade \u00e9 a rapidez de sua produ\u00e7\u00e3o e dissemina\u00e7\u00e3o, assim como da relev\u00e2ncia crescente das estrat\u00e9gias de uso eficaz desse acervo para o crescimento econ\u00f4mico e o aumento do bem-estar. Este relat\u00f3rio tem como objetivo uma apresenta\u00e7\u00e3o geral da tem\u00e1tica \u201cci\u00eancia, tecnologia e inova\u00e7\u00e3o\u201d e a discuss\u00e3o da promo\u00e7\u00e3o tecnol\u00f3gica de regi\u00f5es e localidades no Brasil. Compreendeu levantamento e revis\u00e3o de textos acad\u00eamicos e documentos de organiza\u00e7\u00f5es com atua\u00e7\u00e3o relevante na \u00e1rea. Procurou-se identificar as principais caracter\u00edsticas do mundo contempor\u00e2neo e da chamada \u201ceconomia do conhecimento\u201d, segundo Fernandez (2005) e Dahlman (2002), e definir os principais conceitos relacionados com a inova\u00e7\u00e3o, segundo o Manual de Oslo (OECD, 200?). A economia brasileira foi abordada a partir de estudos recentes que discutem os principais sistemas produtivos e indicam perspectivas do investimento nessas \u00e1reas. Caracterizou-se tamb\u00e9m a estrutura institucional, as fontes de financiamento e a pol\u00edtica nacional de C,T&amp;amp;I. A promo\u00e7\u00e3o tecnol\u00f3gica regional \u00e9 discutida tendo como refer\u00eancia contribui\u00e7\u00f5es da Rede de Pesquisa em Sistemas e Arranjos Produtivos e Inovativos Locais (RedeSist/IE/UFRJ). Enfatiza-se o conceito de sistemas de inova\u00e7\u00e3o localizados e a import\u00e2ncia de sua considera\u00e7\u00e3o na formula\u00e7\u00e3o de pol\u00edticas de promo\u00e7\u00e3o econ\u00f4mica de regi\u00f5es e localidades no pa\u00eds.", "author" : [ { "dropping-particle" : "", "family" : "Filho", "given" : "", "non-dropping-particle" : "", "parse-names" : false, "suffix" : "" }, { "dropping-particle" : "", "family" : "Junior", "given" : "Raimundo", "non-dropping-particle" : "", "parse-names" : false, "suffix" : "" }, { "dropping-particle" : "da", "family" : "Silva", "given" : "Cleber de Deus Pereira", "non-dropping-particle" : "", "parse-names" : false, "suffix" : "" } ], "container-title" : "Cadernos de Pesquisa em Ci\u00eancia Pol\u00edtica", "id" : "ITEM-1", "issue" : "1", "issued" : { "date-parts" : [ [ "2012", "11", "10" ] ] }, "title" : "O SISTEMA NACIONAL DE CI\u00caNCIA, TECNOLOGIA E INOVA\u00c7\u00c3O E A PROMO\u00c7\u00c3O TECNOL\u00d3GICA REGIONAL E LOCAL NO BRASIL", "type" : "article", "volume" : "1" }, "uris" : [ "http://www.mendeley.com/documents/?uuid=13ec7d4a-6eb9-4daa-81b4-894e8c961759" ] } ], "mendeley" : { "previouslyFormattedCitation" : "(Filho, Junior, &amp; Silva, 2012)" }, "properties" : { "noteIndex" : 0 }, "schema" : "https://github.com/citation-style-language/schema/raw/master/csl-citation.json" }</w:instrText>
      </w:r>
      <w:r w:rsidR="003B0D24" w:rsidRPr="005D10C1">
        <w:rPr>
          <w:rFonts w:ascii="Candara" w:hAnsi="Candara"/>
        </w:rPr>
        <w:fldChar w:fldCharType="separate"/>
      </w:r>
      <w:r w:rsidR="0019294E" w:rsidRPr="005D10C1">
        <w:rPr>
          <w:rFonts w:ascii="Candara" w:hAnsi="Candara"/>
          <w:noProof/>
        </w:rPr>
        <w:t>(Filho, Junior, &amp; Silva, 2012)</w:t>
      </w:r>
      <w:r w:rsidR="003B0D24" w:rsidRPr="005D10C1">
        <w:rPr>
          <w:rFonts w:ascii="Candara" w:hAnsi="Candara"/>
        </w:rPr>
        <w:fldChar w:fldCharType="end"/>
      </w:r>
      <w:r w:rsidR="00144FAA" w:rsidRPr="005D10C1">
        <w:rPr>
          <w:rFonts w:ascii="Candara" w:hAnsi="Candara"/>
        </w:rPr>
        <w:t xml:space="preserve">. </w:t>
      </w:r>
    </w:p>
    <w:p w14:paraId="07FB0E1B" w14:textId="77777777" w:rsidR="00256A9A" w:rsidRPr="005D10C1" w:rsidRDefault="00256A9A" w:rsidP="00144FAA">
      <w:pPr>
        <w:spacing w:line="360" w:lineRule="auto"/>
        <w:rPr>
          <w:rFonts w:ascii="Candara" w:hAnsi="Candara"/>
        </w:rPr>
      </w:pPr>
    </w:p>
    <w:p w14:paraId="4558D163" w14:textId="77777777" w:rsidR="0019294E" w:rsidRPr="005D10C1" w:rsidRDefault="00144FAA" w:rsidP="00144FAA">
      <w:pPr>
        <w:spacing w:line="360" w:lineRule="auto"/>
        <w:rPr>
          <w:rFonts w:ascii="Candara" w:hAnsi="Candara"/>
        </w:rPr>
      </w:pPr>
      <w:r w:rsidRPr="005D10C1">
        <w:rPr>
          <w:rFonts w:ascii="Candara" w:hAnsi="Candara"/>
        </w:rPr>
        <w:t>La configuración actual del Sistema de Ciencia, Tecnología e Innovación tiene como referencias la creación del Minis</w:t>
      </w:r>
      <w:r w:rsidR="00795890" w:rsidRPr="005D10C1">
        <w:rPr>
          <w:rFonts w:ascii="Candara" w:hAnsi="Candara"/>
        </w:rPr>
        <w:t>terio de Ciencia</w:t>
      </w:r>
      <w:r w:rsidR="0019294E" w:rsidRPr="005D10C1">
        <w:rPr>
          <w:rFonts w:ascii="Candara" w:hAnsi="Candara"/>
        </w:rPr>
        <w:t>,</w:t>
      </w:r>
      <w:r w:rsidR="00795890" w:rsidRPr="005D10C1">
        <w:rPr>
          <w:rFonts w:ascii="Candara" w:hAnsi="Candara"/>
        </w:rPr>
        <w:t xml:space="preserve"> Tecnología </w:t>
      </w:r>
      <w:r w:rsidR="0019294E" w:rsidRPr="005D10C1">
        <w:rPr>
          <w:rFonts w:ascii="Candara" w:hAnsi="Candara"/>
        </w:rPr>
        <w:t xml:space="preserve">e Innovación </w:t>
      </w:r>
      <w:r w:rsidR="00EC64EB" w:rsidRPr="005D10C1">
        <w:rPr>
          <w:rFonts w:ascii="Candara" w:hAnsi="Candara"/>
        </w:rPr>
        <w:t>(</w:t>
      </w:r>
      <w:r w:rsidR="00795890" w:rsidRPr="005D10C1">
        <w:rPr>
          <w:rFonts w:ascii="Candara" w:hAnsi="Candara"/>
        </w:rPr>
        <w:t>MCT</w:t>
      </w:r>
      <w:r w:rsidR="0019294E" w:rsidRPr="005D10C1">
        <w:rPr>
          <w:rFonts w:ascii="Candara" w:hAnsi="Candara"/>
        </w:rPr>
        <w:t>I</w:t>
      </w:r>
      <w:r w:rsidR="00EC64EB" w:rsidRPr="005D10C1">
        <w:rPr>
          <w:rFonts w:ascii="Candara" w:hAnsi="Candara"/>
        </w:rPr>
        <w:t>)</w:t>
      </w:r>
      <w:r w:rsidRPr="005D10C1">
        <w:rPr>
          <w:rFonts w:ascii="Candara" w:hAnsi="Candara"/>
        </w:rPr>
        <w:t xml:space="preserve"> en 1985</w:t>
      </w:r>
      <w:r w:rsidR="00263B4E" w:rsidRPr="005D10C1">
        <w:rPr>
          <w:rFonts w:ascii="Candara" w:hAnsi="Candara"/>
        </w:rPr>
        <w:t>,</w:t>
      </w:r>
      <w:r w:rsidR="006A57C2" w:rsidRPr="005D10C1">
        <w:rPr>
          <w:rFonts w:ascii="Candara" w:hAnsi="Candara"/>
        </w:rPr>
        <w:t xml:space="preserve"> y la Constitución de 1988</w:t>
      </w:r>
      <w:r w:rsidRPr="005D10C1">
        <w:rPr>
          <w:rFonts w:ascii="Candara" w:hAnsi="Candara"/>
        </w:rPr>
        <w:t xml:space="preserve">. </w:t>
      </w:r>
      <w:r w:rsidR="0019294E" w:rsidRPr="005D10C1">
        <w:rPr>
          <w:rFonts w:ascii="Candara" w:hAnsi="Candara"/>
        </w:rPr>
        <w:t>El MCTI es competente en los siguientes temas: la política nacional en materia de investigación científica</w:t>
      </w:r>
      <w:r w:rsidR="00256A9A" w:rsidRPr="005D10C1">
        <w:rPr>
          <w:rFonts w:ascii="Candara" w:hAnsi="Candara"/>
        </w:rPr>
        <w:t>, la tecnología y la innovación;</w:t>
      </w:r>
      <w:r w:rsidR="0019294E" w:rsidRPr="005D10C1">
        <w:rPr>
          <w:rFonts w:ascii="Candara" w:hAnsi="Candara"/>
        </w:rPr>
        <w:t xml:space="preserve"> la planificación, coordinación, supervisión y control de las actividades de ciencia y tecnología</w:t>
      </w:r>
      <w:r w:rsidR="00256A9A" w:rsidRPr="005D10C1">
        <w:rPr>
          <w:rFonts w:ascii="Candara" w:hAnsi="Candara"/>
        </w:rPr>
        <w:t>;</w:t>
      </w:r>
      <w:r w:rsidR="0019294E" w:rsidRPr="005D10C1">
        <w:rPr>
          <w:rFonts w:ascii="Candara" w:hAnsi="Candara"/>
        </w:rPr>
        <w:t xml:space="preserve"> </w:t>
      </w:r>
      <w:r w:rsidR="00256A9A" w:rsidRPr="005D10C1">
        <w:rPr>
          <w:rFonts w:ascii="Candara" w:hAnsi="Candara"/>
        </w:rPr>
        <w:t xml:space="preserve">el </w:t>
      </w:r>
      <w:r w:rsidR="0019294E" w:rsidRPr="005D10C1">
        <w:rPr>
          <w:rFonts w:ascii="Candara" w:hAnsi="Candara"/>
        </w:rPr>
        <w:t>desarrollo d</w:t>
      </w:r>
      <w:r w:rsidR="00256A9A" w:rsidRPr="005D10C1">
        <w:rPr>
          <w:rFonts w:ascii="Candara" w:hAnsi="Candara"/>
        </w:rPr>
        <w:t>e políticas;</w:t>
      </w:r>
      <w:r w:rsidR="0019294E" w:rsidRPr="005D10C1">
        <w:rPr>
          <w:rFonts w:ascii="Candara" w:hAnsi="Candara"/>
        </w:rPr>
        <w:t xml:space="preserve"> </w:t>
      </w:r>
      <w:r w:rsidR="00256A9A" w:rsidRPr="005D10C1">
        <w:rPr>
          <w:rFonts w:ascii="Candara" w:hAnsi="Candara"/>
        </w:rPr>
        <w:t xml:space="preserve">la </w:t>
      </w:r>
      <w:r w:rsidR="0019294E" w:rsidRPr="005D10C1">
        <w:rPr>
          <w:rFonts w:ascii="Candara" w:hAnsi="Candara"/>
        </w:rPr>
        <w:t xml:space="preserve">política nacional </w:t>
      </w:r>
      <w:r w:rsidR="00256A9A" w:rsidRPr="005D10C1">
        <w:rPr>
          <w:rFonts w:ascii="Candara" w:hAnsi="Candara"/>
        </w:rPr>
        <w:t xml:space="preserve">de </w:t>
      </w:r>
      <w:r w:rsidR="0019294E" w:rsidRPr="005D10C1">
        <w:rPr>
          <w:rFonts w:ascii="Candara" w:hAnsi="Candara"/>
        </w:rPr>
        <w:t>bioseguridad, la política espacial, la política nuclear y el control de la exportación de bienes y servicios sensibles</w:t>
      </w:r>
      <w:r w:rsidR="00340E1B" w:rsidRPr="005D10C1">
        <w:rPr>
          <w:rFonts w:ascii="Candara" w:hAnsi="Candara"/>
        </w:rPr>
        <w:t xml:space="preserve"> </w:t>
      </w:r>
      <w:r w:rsidR="003B0D24" w:rsidRPr="005D10C1">
        <w:rPr>
          <w:rFonts w:ascii="Candara" w:hAnsi="Candara"/>
        </w:rPr>
        <w:fldChar w:fldCharType="begin" w:fldLock="1"/>
      </w:r>
      <w:r w:rsidR="00CA1A09" w:rsidRPr="005D10C1">
        <w:rPr>
          <w:rFonts w:ascii="Candara" w:hAnsi="Candara"/>
        </w:rPr>
        <w:instrText>ADDIN CSL_CITATION { "citationItems" : [ { "id" : "ITEM-1", "itemData" : { "URL" : "http://www.mcti.gov.br/", "id" : "ITEM-1", "issued" : { "date-parts" : [ [ "2008" ] ] }, "title" : "Portal Do Minist\u00e9rio Da Ci\u00eancia, Tecnologia E Inova\u00e7\u00e3o", "type" : "webpage" }, "uris" : [ "http://www.mendeley.com/documents/?uuid=6d1bcf06-7c5e-4a4d-8750-f7543a0cd9ae" ] } ], "mendeley" : { "previouslyFormattedCitation" : "(\u201cPortal Do Minist\u00e9rio Da Ci\u00eancia, Tecnologia E Inova\u00e7\u00e3o,\u201d 2008)" }, "properties" : { "noteIndex" : 0 }, "schema" : "https://github.com/citation-style-language/schema/raw/master/csl-citation.json" }</w:instrText>
      </w:r>
      <w:r w:rsidR="003B0D24" w:rsidRPr="005D10C1">
        <w:rPr>
          <w:rFonts w:ascii="Candara" w:hAnsi="Candara"/>
        </w:rPr>
        <w:fldChar w:fldCharType="separate"/>
      </w:r>
      <w:r w:rsidR="00544115" w:rsidRPr="005D10C1">
        <w:rPr>
          <w:rFonts w:ascii="Candara" w:hAnsi="Candara"/>
          <w:noProof/>
        </w:rPr>
        <w:t>(“</w:t>
      </w:r>
      <w:r w:rsidR="00340E1B" w:rsidRPr="005D10C1">
        <w:rPr>
          <w:rFonts w:ascii="Candara" w:hAnsi="Candara"/>
          <w:noProof/>
        </w:rPr>
        <w:t>Ministério Da Ciência, Tecnologia E Inovação,” 2008)</w:t>
      </w:r>
      <w:r w:rsidR="003B0D24" w:rsidRPr="005D10C1">
        <w:rPr>
          <w:rFonts w:ascii="Candara" w:hAnsi="Candara"/>
        </w:rPr>
        <w:fldChar w:fldCharType="end"/>
      </w:r>
      <w:r w:rsidR="0019294E" w:rsidRPr="005D10C1">
        <w:rPr>
          <w:rFonts w:ascii="Candara" w:hAnsi="Candara"/>
        </w:rPr>
        <w:t>.</w:t>
      </w:r>
    </w:p>
    <w:p w14:paraId="7B65A9EA" w14:textId="77777777" w:rsidR="0019294E" w:rsidRPr="005D10C1" w:rsidRDefault="0019294E" w:rsidP="00144FAA">
      <w:pPr>
        <w:spacing w:line="360" w:lineRule="auto"/>
        <w:rPr>
          <w:rFonts w:ascii="Candara" w:hAnsi="Candara"/>
        </w:rPr>
      </w:pPr>
    </w:p>
    <w:p w14:paraId="063465E1" w14:textId="77777777" w:rsidR="0019294E" w:rsidRPr="005D10C1" w:rsidRDefault="0019294E" w:rsidP="00144FAA">
      <w:pPr>
        <w:spacing w:line="360" w:lineRule="auto"/>
        <w:rPr>
          <w:rFonts w:ascii="Candara" w:hAnsi="Candara"/>
        </w:rPr>
      </w:pPr>
      <w:r w:rsidRPr="005D10C1">
        <w:rPr>
          <w:rFonts w:ascii="Candara" w:hAnsi="Candara"/>
        </w:rPr>
        <w:t xml:space="preserve">Con la fusión de los dos principales organismos de financiación en el país - la Financiadora de Estudios y Proyectos (FINEP) y el Consejo Nacional de Desarrollo Científico y Tecnológico (CNPq) y sus unidades de investigación - el Ministerio de Ciencia y Tecnología comenzó a coordinar </w:t>
      </w:r>
      <w:r w:rsidR="0078361E" w:rsidRPr="005D10C1">
        <w:rPr>
          <w:rFonts w:ascii="Candara" w:hAnsi="Candara"/>
        </w:rPr>
        <w:t xml:space="preserve">la </w:t>
      </w:r>
      <w:r w:rsidRPr="005D10C1">
        <w:rPr>
          <w:rFonts w:ascii="Candara" w:hAnsi="Candara"/>
        </w:rPr>
        <w:t>ejecución de los programas y acciones para consolidar la Política Nacional de Ciencia, Tecnología</w:t>
      </w:r>
      <w:r w:rsidR="00B40BF0" w:rsidRPr="005D10C1">
        <w:rPr>
          <w:rFonts w:ascii="Candara" w:hAnsi="Candara"/>
        </w:rPr>
        <w:t xml:space="preserve"> e Innovación. El propósito de é</w:t>
      </w:r>
      <w:r w:rsidRPr="005D10C1">
        <w:rPr>
          <w:rFonts w:ascii="Candara" w:hAnsi="Candara"/>
        </w:rPr>
        <w:t>sta es transformar el sector en el componente estratégico del desarrollo económico y social en Brasil</w:t>
      </w:r>
      <w:r w:rsidR="00CA3966" w:rsidRPr="005D10C1">
        <w:rPr>
          <w:rFonts w:ascii="Candara" w:hAnsi="Candara"/>
        </w:rPr>
        <w:t>.</w:t>
      </w:r>
    </w:p>
    <w:p w14:paraId="2335238F" w14:textId="77777777" w:rsidR="0019294E" w:rsidRPr="005D10C1" w:rsidRDefault="0019294E" w:rsidP="00144FAA">
      <w:pPr>
        <w:spacing w:line="360" w:lineRule="auto"/>
        <w:rPr>
          <w:rFonts w:ascii="Candara" w:hAnsi="Candara"/>
        </w:rPr>
      </w:pPr>
    </w:p>
    <w:p w14:paraId="48A1EEFA" w14:textId="77777777" w:rsidR="000E0964" w:rsidRPr="005D10C1" w:rsidRDefault="000E0964" w:rsidP="006B0B4F">
      <w:pPr>
        <w:spacing w:line="360" w:lineRule="auto"/>
        <w:rPr>
          <w:rFonts w:ascii="Candara" w:hAnsi="Candara"/>
        </w:rPr>
      </w:pPr>
      <w:r w:rsidRPr="005D10C1">
        <w:rPr>
          <w:rFonts w:ascii="Candara" w:hAnsi="Candara"/>
        </w:rPr>
        <w:t xml:space="preserve">Desde la década de los 90’s el gobierno </w:t>
      </w:r>
      <w:r w:rsidR="00F704D2" w:rsidRPr="005D10C1">
        <w:rPr>
          <w:rFonts w:ascii="Candara" w:hAnsi="Candara"/>
        </w:rPr>
        <w:t xml:space="preserve">brasilero </w:t>
      </w:r>
      <w:r w:rsidRPr="005D10C1">
        <w:rPr>
          <w:rFonts w:ascii="Candara" w:hAnsi="Candara"/>
        </w:rPr>
        <w:t xml:space="preserve">destacó su papel como regulador, tratando de crear un entorno institucional más favorable a la innovación. </w:t>
      </w:r>
      <w:r w:rsidR="002557C5" w:rsidRPr="005D10C1">
        <w:rPr>
          <w:rFonts w:ascii="Candara" w:hAnsi="Candara"/>
        </w:rPr>
        <w:t>Es así como</w:t>
      </w:r>
      <w:r w:rsidRPr="005D10C1">
        <w:rPr>
          <w:rFonts w:ascii="Candara" w:hAnsi="Candara"/>
        </w:rPr>
        <w:t xml:space="preserve"> comenzó a centrarse en la creación de un </w:t>
      </w:r>
      <w:r w:rsidR="00EB53E5" w:rsidRPr="005D10C1">
        <w:rPr>
          <w:rFonts w:ascii="Candara" w:hAnsi="Candara"/>
        </w:rPr>
        <w:t>ambiente</w:t>
      </w:r>
      <w:r w:rsidR="002557C5" w:rsidRPr="005D10C1">
        <w:rPr>
          <w:rFonts w:ascii="Candara" w:hAnsi="Candara"/>
        </w:rPr>
        <w:t xml:space="preserve"> que </w:t>
      </w:r>
      <w:r w:rsidR="00544115" w:rsidRPr="005D10C1">
        <w:rPr>
          <w:rFonts w:ascii="Candara" w:hAnsi="Candara"/>
        </w:rPr>
        <w:t>facilitara</w:t>
      </w:r>
      <w:r w:rsidRPr="005D10C1">
        <w:rPr>
          <w:rFonts w:ascii="Candara" w:hAnsi="Candara"/>
        </w:rPr>
        <w:t xml:space="preserve"> </w:t>
      </w:r>
      <w:r w:rsidR="002557C5" w:rsidRPr="005D10C1">
        <w:rPr>
          <w:rFonts w:ascii="Candara" w:hAnsi="Candara"/>
        </w:rPr>
        <w:t>la</w:t>
      </w:r>
      <w:r w:rsidRPr="005D10C1">
        <w:rPr>
          <w:rFonts w:ascii="Candara" w:hAnsi="Candara"/>
        </w:rPr>
        <w:t xml:space="preserve"> interacción entre la comunidad universit</w:t>
      </w:r>
      <w:r w:rsidR="002557C5" w:rsidRPr="005D10C1">
        <w:rPr>
          <w:rFonts w:ascii="Candara" w:hAnsi="Candara"/>
        </w:rPr>
        <w:t>aria y las empresas brasileñas, dado que e</w:t>
      </w:r>
      <w:r w:rsidRPr="005D10C1">
        <w:rPr>
          <w:rFonts w:ascii="Candara" w:hAnsi="Candara"/>
        </w:rPr>
        <w:t xml:space="preserve">l desarrollo conjunto de </w:t>
      </w:r>
      <w:r w:rsidRPr="005D10C1">
        <w:rPr>
          <w:rFonts w:ascii="Candara" w:hAnsi="Candara"/>
        </w:rPr>
        <w:lastRenderedPageBreak/>
        <w:t xml:space="preserve">proyectos de investigación promovería la estructuración de las actividades de I + D dentro de las empresas, ayudando a difundir la cultura de la investigación </w:t>
      </w:r>
      <w:r w:rsidR="00544115" w:rsidRPr="005D10C1">
        <w:rPr>
          <w:rFonts w:ascii="Candara" w:hAnsi="Candara"/>
        </w:rPr>
        <w:t>e</w:t>
      </w:r>
      <w:r w:rsidRPr="005D10C1">
        <w:rPr>
          <w:rFonts w:ascii="Candara" w:hAnsi="Candara"/>
        </w:rPr>
        <w:t xml:space="preserve"> innovación</w:t>
      </w:r>
      <w:r w:rsidR="00F704D2" w:rsidRPr="005D10C1">
        <w:rPr>
          <w:rFonts w:ascii="Candara" w:hAnsi="Candara"/>
        </w:rPr>
        <w:t>.</w:t>
      </w:r>
      <w:r w:rsidR="00542C27" w:rsidRPr="005D10C1">
        <w:rPr>
          <w:rFonts w:ascii="Candara" w:hAnsi="Candara"/>
        </w:rPr>
        <w:t xml:space="preserve"> </w:t>
      </w:r>
      <w:r w:rsidR="00544115" w:rsidRPr="005D10C1">
        <w:rPr>
          <w:rFonts w:ascii="Candara" w:hAnsi="Candara"/>
        </w:rPr>
        <w:t>C</w:t>
      </w:r>
      <w:r w:rsidR="00F704D2" w:rsidRPr="005D10C1">
        <w:rPr>
          <w:rFonts w:ascii="Candara" w:hAnsi="Candara"/>
        </w:rPr>
        <w:t xml:space="preserve">on </w:t>
      </w:r>
      <w:r w:rsidR="0037441C" w:rsidRPr="005D10C1">
        <w:rPr>
          <w:rFonts w:ascii="Candara" w:hAnsi="Candara"/>
        </w:rPr>
        <w:t xml:space="preserve">los incentivos del gobierno </w:t>
      </w:r>
      <w:r w:rsidR="002557C5" w:rsidRPr="005D10C1">
        <w:rPr>
          <w:rFonts w:ascii="Candara" w:hAnsi="Candara"/>
        </w:rPr>
        <w:t>para promover</w:t>
      </w:r>
      <w:r w:rsidR="00F704D2" w:rsidRPr="005D10C1">
        <w:rPr>
          <w:rFonts w:ascii="Candara" w:hAnsi="Candara"/>
        </w:rPr>
        <w:t xml:space="preserve"> la relación universidad-empresa, </w:t>
      </w:r>
      <w:r w:rsidR="002557C5" w:rsidRPr="005D10C1">
        <w:rPr>
          <w:rFonts w:ascii="Candara" w:hAnsi="Candara"/>
        </w:rPr>
        <w:t>empieza a surgir la</w:t>
      </w:r>
      <w:r w:rsidR="00F704D2" w:rsidRPr="005D10C1">
        <w:rPr>
          <w:rFonts w:ascii="Candara" w:hAnsi="Candara"/>
        </w:rPr>
        <w:t xml:space="preserve"> tercera misión </w:t>
      </w:r>
      <w:r w:rsidR="002557C5" w:rsidRPr="005D10C1">
        <w:rPr>
          <w:rFonts w:ascii="Candara" w:hAnsi="Candara"/>
        </w:rPr>
        <w:t>de las universidades y se establecen un conjunto</w:t>
      </w:r>
      <w:r w:rsidR="00F704D2" w:rsidRPr="005D10C1">
        <w:rPr>
          <w:rFonts w:ascii="Candara" w:hAnsi="Candara"/>
        </w:rPr>
        <w:t xml:space="preserve"> de actividades de in</w:t>
      </w:r>
      <w:r w:rsidR="0037441C" w:rsidRPr="005D10C1">
        <w:rPr>
          <w:rFonts w:ascii="Candara" w:hAnsi="Candara"/>
        </w:rPr>
        <w:t xml:space="preserve">teracción </w:t>
      </w:r>
      <w:r w:rsidR="002557C5" w:rsidRPr="005D10C1">
        <w:rPr>
          <w:rFonts w:ascii="Candara" w:hAnsi="Candara"/>
        </w:rPr>
        <w:t>co</w:t>
      </w:r>
      <w:r w:rsidR="00F704D2" w:rsidRPr="005D10C1">
        <w:rPr>
          <w:rFonts w:ascii="Candara" w:hAnsi="Candara"/>
        </w:rPr>
        <w:t>mo</w:t>
      </w:r>
      <w:r w:rsidR="0037441C" w:rsidRPr="005D10C1">
        <w:rPr>
          <w:rFonts w:ascii="Candara" w:hAnsi="Candara"/>
        </w:rPr>
        <w:t>, por ejemplo:</w:t>
      </w:r>
      <w:r w:rsidR="00F704D2" w:rsidRPr="005D10C1">
        <w:rPr>
          <w:rFonts w:ascii="Candara" w:hAnsi="Candara"/>
        </w:rPr>
        <w:t xml:space="preserve"> la oferta de servicios tecnológicos (ensayos, mediciones, consultorías, servicios de información), servicios de educación, proyectos conjuntos de investigación con empresas, los proyectos llevados a cabo por pequeñas empresas y proyectos incubados procedentes de empresas junior</w:t>
      </w:r>
      <w:r w:rsidR="000A6BB4" w:rsidRPr="005D10C1">
        <w:rPr>
          <w:rStyle w:val="Refdenotaalpie"/>
          <w:rFonts w:ascii="Candara" w:hAnsi="Candara"/>
        </w:rPr>
        <w:footnoteReference w:id="1"/>
      </w:r>
      <w:r w:rsidR="00F704D2" w:rsidRPr="005D10C1">
        <w:rPr>
          <w:rFonts w:ascii="Candara" w:hAnsi="Candara"/>
        </w:rPr>
        <w:t xml:space="preserve">. Para gestionar todas estas actividades, </w:t>
      </w:r>
      <w:r w:rsidR="00B216AD" w:rsidRPr="005D10C1">
        <w:rPr>
          <w:rFonts w:ascii="Candara" w:hAnsi="Candara"/>
        </w:rPr>
        <w:t xml:space="preserve">se crearon </w:t>
      </w:r>
      <w:r w:rsidR="00F704D2" w:rsidRPr="005D10C1">
        <w:rPr>
          <w:rFonts w:ascii="Candara" w:hAnsi="Candara"/>
        </w:rPr>
        <w:t xml:space="preserve">las oficinas de transferencia de tecnología (OTT) </w:t>
      </w:r>
      <w:r w:rsidR="00B216AD" w:rsidRPr="005D10C1">
        <w:rPr>
          <w:rFonts w:ascii="Candara" w:hAnsi="Candara"/>
        </w:rPr>
        <w:t>en las universidades</w:t>
      </w:r>
      <w:r w:rsidR="002676F3" w:rsidRPr="005D10C1">
        <w:rPr>
          <w:rFonts w:ascii="Candara" w:hAnsi="Candara"/>
        </w:rPr>
        <w:t xml:space="preserve"> públicas</w:t>
      </w:r>
      <w:r w:rsidR="00B216AD" w:rsidRPr="005D10C1">
        <w:rPr>
          <w:rFonts w:ascii="Candara" w:hAnsi="Candara"/>
        </w:rPr>
        <w:t xml:space="preserve">, </w:t>
      </w:r>
      <w:r w:rsidR="002676F3" w:rsidRPr="005D10C1">
        <w:rPr>
          <w:rFonts w:ascii="Candara" w:hAnsi="Candara"/>
        </w:rPr>
        <w:t xml:space="preserve">siendo las primeras en ser implementadas </w:t>
      </w:r>
      <w:r w:rsidR="00F704D2" w:rsidRPr="005D10C1">
        <w:rPr>
          <w:rFonts w:ascii="Candara" w:hAnsi="Candara"/>
        </w:rPr>
        <w:t>las</w:t>
      </w:r>
      <w:r w:rsidR="002676F3" w:rsidRPr="005D10C1">
        <w:rPr>
          <w:rFonts w:ascii="Candara" w:hAnsi="Candara"/>
        </w:rPr>
        <w:t xml:space="preserve"> de las</w:t>
      </w:r>
      <w:r w:rsidR="00F704D2" w:rsidRPr="005D10C1">
        <w:rPr>
          <w:rFonts w:ascii="Candara" w:hAnsi="Candara"/>
        </w:rPr>
        <w:t xml:space="preserve"> universidades con un fuerte li</w:t>
      </w:r>
      <w:r w:rsidR="00E83415" w:rsidRPr="005D10C1">
        <w:rPr>
          <w:rFonts w:ascii="Candara" w:hAnsi="Candara"/>
        </w:rPr>
        <w:t>derazgo en las actividades de I</w:t>
      </w:r>
      <w:r w:rsidR="00F704D2" w:rsidRPr="005D10C1">
        <w:rPr>
          <w:rFonts w:ascii="Candara" w:hAnsi="Candara"/>
        </w:rPr>
        <w:t xml:space="preserve">+D e incubadoras de empresas de base tecnológica </w:t>
      </w:r>
      <w:r w:rsidR="003B0D24" w:rsidRPr="005D10C1">
        <w:rPr>
          <w:rFonts w:ascii="Candara" w:hAnsi="Candara"/>
        </w:rPr>
        <w:fldChar w:fldCharType="begin" w:fldLock="1"/>
      </w:r>
      <w:r w:rsidR="00CA1A09" w:rsidRPr="005D10C1">
        <w:rPr>
          <w:rFonts w:ascii="Candara" w:hAnsi="Candara"/>
        </w:rPr>
        <w:instrText>ADDIN CSL_CITATION { "citationItems" : [ { "id" : "ITEM-1", "itemData" : { "DOI" : "10.3152/030234209X406791", "ISSN" : "03023427", "author" : [ { "dropping-particle" : "", "family" : "Maculan", "given" : "Anne-Marie", "non-dropping-particle" : "", "parse-names" : false, "suffix" : "" }, { "dropping-particle" : "", "family" : "Mello", "given" : "Jos\u00e9 Manoel Carvalho", "non-dropping-particle" : "de", "parse-names" : false, "suffix" : "" } ], "container-title" : "Science and Public Policy", "id" : "ITEM-1", "issue" : "2", "issued" : { "date-parts" : [ [ "2009", "3", "1" ] ] }, "page" : "109-114", "title" : "University start-ups for breaking lock-ins of the Brazilian economy", "type" : "article-journal", "volume" : "36" }, "uris" : [ "http://www.mendeley.com/documents/?uuid=be75143b-ea4e-49ad-acac-caa5e4e18799" ] } ], "mendeley" : { "previouslyFormattedCitation" : "(Maculan &amp; de Mello, 2009)" }, "properties" : { "noteIndex" : 0 }, "schema" : "https://github.com/citation-style-language/schema/raw/master/csl-citation.json" }</w:instrText>
      </w:r>
      <w:r w:rsidR="003B0D24" w:rsidRPr="005D10C1">
        <w:rPr>
          <w:rFonts w:ascii="Candara" w:hAnsi="Candara"/>
        </w:rPr>
        <w:fldChar w:fldCharType="separate"/>
      </w:r>
      <w:r w:rsidR="00220584" w:rsidRPr="005D10C1">
        <w:rPr>
          <w:rFonts w:ascii="Candara" w:hAnsi="Candara"/>
          <w:noProof/>
        </w:rPr>
        <w:t>(Maculan &amp; de Mello, 2009)</w:t>
      </w:r>
      <w:r w:rsidR="003B0D24" w:rsidRPr="005D10C1">
        <w:rPr>
          <w:rFonts w:ascii="Candara" w:hAnsi="Candara"/>
        </w:rPr>
        <w:fldChar w:fldCharType="end"/>
      </w:r>
      <w:r w:rsidR="00F704D2" w:rsidRPr="005D10C1">
        <w:rPr>
          <w:rFonts w:ascii="Candara" w:hAnsi="Candara"/>
        </w:rPr>
        <w:t>.</w:t>
      </w:r>
    </w:p>
    <w:p w14:paraId="0759D859" w14:textId="77777777" w:rsidR="00F704D2" w:rsidRPr="005D10C1" w:rsidRDefault="00F704D2" w:rsidP="006B0B4F">
      <w:pPr>
        <w:spacing w:line="360" w:lineRule="auto"/>
        <w:rPr>
          <w:rFonts w:ascii="Candara" w:hAnsi="Candara"/>
        </w:rPr>
      </w:pPr>
    </w:p>
    <w:p w14:paraId="1CCD748C" w14:textId="77777777" w:rsidR="0077238D" w:rsidRPr="005D10C1" w:rsidRDefault="00FA2A81" w:rsidP="006B0B4F">
      <w:pPr>
        <w:spacing w:line="360" w:lineRule="auto"/>
        <w:rPr>
          <w:rFonts w:ascii="Candara" w:hAnsi="Candara"/>
        </w:rPr>
      </w:pPr>
      <w:r w:rsidRPr="005D10C1">
        <w:rPr>
          <w:rFonts w:ascii="Candara" w:hAnsi="Candara"/>
        </w:rPr>
        <w:t>En el presente siglo, c</w:t>
      </w:r>
      <w:r w:rsidR="0077238D" w:rsidRPr="005D10C1">
        <w:rPr>
          <w:rFonts w:ascii="Candara" w:hAnsi="Candara"/>
        </w:rPr>
        <w:t>on el propósito de fortalecer la capacidad tecnológica de la industria se fomentó la Ley de Innovación</w:t>
      </w:r>
      <w:r w:rsidR="001302C6" w:rsidRPr="005D10C1">
        <w:rPr>
          <w:rFonts w:ascii="Candara" w:hAnsi="Candara"/>
        </w:rPr>
        <w:t xml:space="preserve"> </w:t>
      </w:r>
      <w:r w:rsidR="002A728C" w:rsidRPr="005D10C1">
        <w:rPr>
          <w:rFonts w:ascii="Candara" w:hAnsi="Candara"/>
        </w:rPr>
        <w:t>–</w:t>
      </w:r>
      <w:r w:rsidR="001302C6" w:rsidRPr="005D10C1">
        <w:rPr>
          <w:rFonts w:ascii="Candara" w:hAnsi="Candara"/>
        </w:rPr>
        <w:t xml:space="preserve"> </w:t>
      </w:r>
      <w:r w:rsidR="0077238D" w:rsidRPr="005D10C1">
        <w:rPr>
          <w:rFonts w:ascii="Candara" w:hAnsi="Candara"/>
        </w:rPr>
        <w:t>Le</w:t>
      </w:r>
      <w:r w:rsidR="00E83415" w:rsidRPr="005D10C1">
        <w:rPr>
          <w:rFonts w:ascii="Candara" w:hAnsi="Candara"/>
        </w:rPr>
        <w:t>i</w:t>
      </w:r>
      <w:r w:rsidR="002A728C" w:rsidRPr="005D10C1">
        <w:rPr>
          <w:rFonts w:ascii="Candara" w:hAnsi="Candara"/>
        </w:rPr>
        <w:t xml:space="preserve"> </w:t>
      </w:r>
      <w:r w:rsidR="00E83415" w:rsidRPr="005D10C1">
        <w:rPr>
          <w:rFonts w:ascii="Candara" w:hAnsi="Candara"/>
        </w:rPr>
        <w:t>N°1</w:t>
      </w:r>
      <w:r w:rsidR="0077238D" w:rsidRPr="005D10C1">
        <w:rPr>
          <w:rFonts w:ascii="Candara" w:hAnsi="Candara"/>
        </w:rPr>
        <w:t xml:space="preserve">0.973/2004 y la </w:t>
      </w:r>
      <w:r w:rsidR="0077238D" w:rsidRPr="005D10C1">
        <w:rPr>
          <w:rFonts w:ascii="Candara" w:hAnsi="Candara"/>
          <w:i/>
        </w:rPr>
        <w:t>Le</w:t>
      </w:r>
      <w:r w:rsidR="00926265" w:rsidRPr="005D10C1">
        <w:rPr>
          <w:rFonts w:ascii="Candara" w:hAnsi="Candara"/>
          <w:i/>
        </w:rPr>
        <w:t>i</w:t>
      </w:r>
      <w:r w:rsidR="0077238D" w:rsidRPr="005D10C1">
        <w:rPr>
          <w:rFonts w:ascii="Candara" w:hAnsi="Candara"/>
          <w:i/>
        </w:rPr>
        <w:t xml:space="preserve"> do Bem</w:t>
      </w:r>
      <w:r w:rsidR="0077238D" w:rsidRPr="005D10C1">
        <w:rPr>
          <w:rFonts w:ascii="Candara" w:hAnsi="Candara"/>
        </w:rPr>
        <w:t>-Incentivos fiscales para Innovación (Lei 11.196/05)</w:t>
      </w:r>
      <w:r w:rsidR="00B07013" w:rsidRPr="005D10C1">
        <w:rPr>
          <w:rFonts w:ascii="Candara" w:hAnsi="Candara"/>
        </w:rPr>
        <w:t xml:space="preserve"> </w:t>
      </w:r>
      <w:r w:rsidR="003B0D24" w:rsidRPr="005D10C1">
        <w:rPr>
          <w:rFonts w:ascii="Candara" w:hAnsi="Candara"/>
        </w:rPr>
        <w:fldChar w:fldCharType="begin" w:fldLock="1"/>
      </w:r>
      <w:r w:rsidR="00CA1A09" w:rsidRPr="005D10C1">
        <w:rPr>
          <w:rFonts w:ascii="Candara" w:hAnsi="Candara"/>
        </w:rPr>
        <w:instrText>ADDIN CSL_CITATION { "citationItems" : [ { "id" : "ITEM-1", "itemData" : { "author" : [ { "dropping-particle" : "", "family" : "Carvalho", "given" : "Pedro", "non-dropping-particle" : "", "parse-names" : false, "suffix" : "" } ], "id" : "ITEM-1", "issued" : { "date-parts" : [ [ "2013" ] ] }, "title" : "Politica PI y estrat\u00e9gias el processo de emprendedorismo, creaci\u00f3n e incubac\u00edon de la Spin-off", "type" : "article" }, "uris" : [ "http://www.mendeley.com/documents/?uuid=263cf6e8-e5d4-4bff-8b64-3fa5c78825a5" ] } ], "mendeley" : { "previouslyFormattedCitation" : "(Carvalho, 2013)" }, "properties" : { "noteIndex" : 0 }, "schema" : "https://github.com/citation-style-language/schema/raw/master/csl-citation.json" }</w:instrText>
      </w:r>
      <w:r w:rsidR="003B0D24" w:rsidRPr="005D10C1">
        <w:rPr>
          <w:rFonts w:ascii="Candara" w:hAnsi="Candara"/>
        </w:rPr>
        <w:fldChar w:fldCharType="separate"/>
      </w:r>
      <w:r w:rsidR="000A6BB4" w:rsidRPr="005D10C1">
        <w:rPr>
          <w:rFonts w:ascii="Candara" w:hAnsi="Candara"/>
          <w:noProof/>
        </w:rPr>
        <w:t>(Carvalho, 2013)</w:t>
      </w:r>
      <w:r w:rsidR="003B0D24" w:rsidRPr="005D10C1">
        <w:rPr>
          <w:rFonts w:ascii="Candara" w:hAnsi="Candara"/>
        </w:rPr>
        <w:fldChar w:fldCharType="end"/>
      </w:r>
      <w:r w:rsidR="00BD4A5A" w:rsidRPr="005D10C1">
        <w:rPr>
          <w:rFonts w:ascii="Candara" w:hAnsi="Candara"/>
        </w:rPr>
        <w:t>.</w:t>
      </w:r>
    </w:p>
    <w:p w14:paraId="10FCEAC4" w14:textId="77777777" w:rsidR="0077238D" w:rsidRPr="005D10C1" w:rsidRDefault="0077238D" w:rsidP="006B0B4F">
      <w:pPr>
        <w:spacing w:line="360" w:lineRule="auto"/>
        <w:rPr>
          <w:rFonts w:ascii="Candara" w:hAnsi="Candara"/>
        </w:rPr>
      </w:pPr>
    </w:p>
    <w:p w14:paraId="51C714C1" w14:textId="77777777" w:rsidR="0077238D" w:rsidRPr="005D10C1" w:rsidRDefault="0077238D" w:rsidP="006B0B4F">
      <w:pPr>
        <w:spacing w:line="360" w:lineRule="auto"/>
        <w:rPr>
          <w:rFonts w:ascii="Candara" w:hAnsi="Candara"/>
        </w:rPr>
      </w:pPr>
      <w:r w:rsidRPr="005D10C1">
        <w:rPr>
          <w:rFonts w:ascii="Candara" w:hAnsi="Candara"/>
        </w:rPr>
        <w:t>La Ley de Innovación fue diseñada para proporcionar incentivos para la investigación y la innovación,</w:t>
      </w:r>
      <w:r w:rsidR="001302C6" w:rsidRPr="005D10C1">
        <w:rPr>
          <w:rFonts w:ascii="Candara" w:hAnsi="Candara"/>
        </w:rPr>
        <w:t xml:space="preserve"> </w:t>
      </w:r>
      <w:r w:rsidR="00E83415" w:rsidRPr="005D10C1">
        <w:rPr>
          <w:rFonts w:ascii="Candara" w:hAnsi="Candara"/>
        </w:rPr>
        <w:t xml:space="preserve">además </w:t>
      </w:r>
      <w:r w:rsidR="004307CA" w:rsidRPr="005D10C1">
        <w:rPr>
          <w:rFonts w:ascii="Candara" w:hAnsi="Candara"/>
        </w:rPr>
        <w:t xml:space="preserve">crea un nuevo reglamento para la transferencia de conocimiento </w:t>
      </w:r>
      <w:r w:rsidR="00227C45" w:rsidRPr="005D10C1">
        <w:rPr>
          <w:rFonts w:ascii="Candara" w:hAnsi="Candara"/>
        </w:rPr>
        <w:t>e incluye</w:t>
      </w:r>
      <w:r w:rsidRPr="005D10C1">
        <w:rPr>
          <w:rFonts w:ascii="Candara" w:hAnsi="Candara"/>
        </w:rPr>
        <w:t xml:space="preserve"> disposiciones como los acuerdos de cooperación entre las instituciones de ciencia y tecnología y las organizaciones empresariales, el intercambio de los laboratorios, la incubación de pequeñas empresas en los institutos de Ciencia y Tecnología (CT) pública, la prestación de servicios de I + D para empresas industriales, la creación de oficinas encargadas de la protección de los conocimientos generados por las universidades, </w:t>
      </w:r>
      <w:r w:rsidR="004307CA" w:rsidRPr="005D10C1">
        <w:rPr>
          <w:rFonts w:ascii="Candara" w:hAnsi="Candara"/>
        </w:rPr>
        <w:t xml:space="preserve">impulsa la comercialización de los conocimientos </w:t>
      </w:r>
      <w:r w:rsidR="00544115" w:rsidRPr="005D10C1">
        <w:rPr>
          <w:rFonts w:ascii="Candara" w:hAnsi="Candara"/>
        </w:rPr>
        <w:t>generados en</w:t>
      </w:r>
      <w:r w:rsidR="004307CA" w:rsidRPr="005D10C1">
        <w:rPr>
          <w:rFonts w:ascii="Candara" w:hAnsi="Candara"/>
        </w:rPr>
        <w:t xml:space="preserve"> las </w:t>
      </w:r>
      <w:r w:rsidR="004307CA" w:rsidRPr="005D10C1">
        <w:rPr>
          <w:rFonts w:ascii="Candara" w:hAnsi="Candara"/>
        </w:rPr>
        <w:lastRenderedPageBreak/>
        <w:t xml:space="preserve">universidades, </w:t>
      </w:r>
      <w:r w:rsidRPr="005D10C1">
        <w:rPr>
          <w:rFonts w:ascii="Candara" w:hAnsi="Candara"/>
        </w:rPr>
        <w:t>así como la participación de los investigadores en los beneficios económicos de sus invenciones y el patrocinio de las empresas innovadoras</w:t>
      </w:r>
      <w:r w:rsidR="00340E1B" w:rsidRPr="005D10C1">
        <w:rPr>
          <w:rFonts w:ascii="Candara" w:hAnsi="Candara"/>
        </w:rPr>
        <w:t xml:space="preserve"> </w:t>
      </w:r>
      <w:r w:rsidR="003B0D24" w:rsidRPr="005D10C1">
        <w:rPr>
          <w:rFonts w:ascii="Candara" w:hAnsi="Candara"/>
        </w:rPr>
        <w:fldChar w:fldCharType="begin" w:fldLock="1"/>
      </w:r>
      <w:r w:rsidR="00CA1A09" w:rsidRPr="005D10C1">
        <w:rPr>
          <w:rFonts w:ascii="Candara" w:hAnsi="Candara"/>
        </w:rPr>
        <w:instrText>ADDIN CSL_CITATION { "citationItems" : [ { "id" : "ITEM-1", "itemData" : { "id" : "ITEM-1", "issued" : { "date-parts" : [ [ "2004" ] ] }, "title" : "Lei n\u00ba 10.973", "type" : "article" }, "uris" : [ "http://www.mendeley.com/documents/?uuid=4b943ad5-bd59-4aa5-9bea-103187cbf8df" ] } ], "mendeley" : { "manualFormatting" : "(Lei no 10.973, 2004)", "previouslyFormattedCitation" : "(\u201cLei n&lt;sup&gt;o&lt;/sup&gt; 10.973,\u201d 2004)" }, "properties" : { "noteIndex" : 0 }, "schema" : "https://github.com/citation-style-language/schema/raw/master/csl-citation.json" }</w:instrText>
      </w:r>
      <w:r w:rsidR="003B0D24" w:rsidRPr="005D10C1">
        <w:rPr>
          <w:rFonts w:ascii="Candara" w:hAnsi="Candara"/>
        </w:rPr>
        <w:fldChar w:fldCharType="separate"/>
      </w:r>
      <w:r w:rsidR="00340E1B" w:rsidRPr="005D10C1">
        <w:rPr>
          <w:rFonts w:ascii="Candara" w:hAnsi="Candara"/>
          <w:noProof/>
        </w:rPr>
        <w:t>(Lei n</w:t>
      </w:r>
      <w:r w:rsidR="00340E1B" w:rsidRPr="005D10C1">
        <w:rPr>
          <w:rFonts w:ascii="Candara" w:hAnsi="Candara"/>
          <w:noProof/>
          <w:vertAlign w:val="superscript"/>
        </w:rPr>
        <w:t>o</w:t>
      </w:r>
      <w:r w:rsidR="00340E1B" w:rsidRPr="005D10C1">
        <w:rPr>
          <w:rFonts w:ascii="Candara" w:hAnsi="Candara"/>
          <w:noProof/>
        </w:rPr>
        <w:t xml:space="preserve"> 10.973, 2004)</w:t>
      </w:r>
      <w:r w:rsidR="003B0D24" w:rsidRPr="005D10C1">
        <w:rPr>
          <w:rFonts w:ascii="Candara" w:hAnsi="Candara"/>
        </w:rPr>
        <w:fldChar w:fldCharType="end"/>
      </w:r>
      <w:r w:rsidRPr="005D10C1">
        <w:rPr>
          <w:rFonts w:ascii="Candara" w:hAnsi="Candara"/>
        </w:rPr>
        <w:t>.</w:t>
      </w:r>
    </w:p>
    <w:p w14:paraId="5D7408C1" w14:textId="77777777" w:rsidR="00EF48BE" w:rsidRPr="005D10C1" w:rsidRDefault="00EF48BE" w:rsidP="006B0B4F">
      <w:pPr>
        <w:spacing w:line="360" w:lineRule="auto"/>
        <w:rPr>
          <w:rFonts w:ascii="Candara" w:hAnsi="Candara"/>
        </w:rPr>
      </w:pPr>
    </w:p>
    <w:p w14:paraId="4780A962" w14:textId="77777777" w:rsidR="00F704D2" w:rsidRPr="005D10C1" w:rsidRDefault="00651427" w:rsidP="006B0B4F">
      <w:pPr>
        <w:spacing w:line="360" w:lineRule="auto"/>
        <w:rPr>
          <w:rFonts w:ascii="Candara" w:hAnsi="Candara"/>
        </w:rPr>
      </w:pPr>
      <w:r w:rsidRPr="005D10C1">
        <w:rPr>
          <w:rFonts w:ascii="Candara" w:hAnsi="Candara"/>
        </w:rPr>
        <w:t xml:space="preserve">Por otra parte, en 2005 </w:t>
      </w:r>
      <w:r w:rsidR="0077238D" w:rsidRPr="005D10C1">
        <w:rPr>
          <w:rFonts w:ascii="Candara" w:hAnsi="Candara"/>
        </w:rPr>
        <w:t xml:space="preserve">la Ley de Bienes </w:t>
      </w:r>
      <w:r w:rsidR="00B638AA" w:rsidRPr="005D10C1">
        <w:rPr>
          <w:rFonts w:ascii="Candara" w:hAnsi="Candara"/>
        </w:rPr>
        <w:t xml:space="preserve">del </w:t>
      </w:r>
      <w:r w:rsidR="0077238D" w:rsidRPr="005D10C1">
        <w:rPr>
          <w:rFonts w:ascii="Candara" w:hAnsi="Candara"/>
        </w:rPr>
        <w:t xml:space="preserve">2005 </w:t>
      </w:r>
      <w:r w:rsidRPr="005D10C1">
        <w:rPr>
          <w:rFonts w:ascii="Candara" w:hAnsi="Candara"/>
        </w:rPr>
        <w:t>establece</w:t>
      </w:r>
      <w:r w:rsidR="0077238D" w:rsidRPr="005D10C1">
        <w:rPr>
          <w:rFonts w:ascii="Candara" w:hAnsi="Candara"/>
        </w:rPr>
        <w:t xml:space="preserve"> incentivos fiscales para las empresas que inviert</w:t>
      </w:r>
      <w:r w:rsidR="00B638AA" w:rsidRPr="005D10C1">
        <w:rPr>
          <w:rFonts w:ascii="Candara" w:hAnsi="Candara"/>
        </w:rPr>
        <w:t>an en actividades internas de I</w:t>
      </w:r>
      <w:r w:rsidR="0077238D" w:rsidRPr="005D10C1">
        <w:rPr>
          <w:rFonts w:ascii="Candara" w:hAnsi="Candara"/>
        </w:rPr>
        <w:t>+D</w:t>
      </w:r>
      <w:r w:rsidR="002A728C" w:rsidRPr="005D10C1">
        <w:rPr>
          <w:rFonts w:ascii="Candara" w:hAnsi="Candara"/>
        </w:rPr>
        <w:t xml:space="preserve"> </w:t>
      </w:r>
      <w:r w:rsidR="003B0D24" w:rsidRPr="005D10C1">
        <w:rPr>
          <w:rFonts w:ascii="Candara" w:hAnsi="Candara"/>
        </w:rPr>
        <w:fldChar w:fldCharType="begin" w:fldLock="1"/>
      </w:r>
      <w:r w:rsidR="00CA1A09" w:rsidRPr="005D10C1">
        <w:rPr>
          <w:rFonts w:ascii="Candara" w:hAnsi="Candara"/>
        </w:rPr>
        <w:instrText>ADDIN CSL_CITATION { "citationItems" : [ { "id" : "ITEM-1", "itemData" : { "id" : "ITEM-1", "issued" : { "date-parts" : [ [ "2005" ] ] }, "title" : "Lei n\u00ba 11.196", "type" : "article" }, "uris" : [ "http://www.mendeley.com/documents/?uuid=8856828d-8173-4ade-ab41-2ae3bc862823" ] } ], "mendeley" : { "manualFormatting" : "(Lei no 11.196, 2005)", "previouslyFormattedCitation" : "(\u201cLei n&lt;sup&gt;o&lt;/sup&gt; 11.196,\u201d 2005)" }, "properties" : { "noteIndex" : 0 }, "schema" : "https://github.com/citation-style-language/schema/raw/master/csl-citation.json" }</w:instrText>
      </w:r>
      <w:r w:rsidR="003B0D24" w:rsidRPr="005D10C1">
        <w:rPr>
          <w:rFonts w:ascii="Candara" w:hAnsi="Candara"/>
        </w:rPr>
        <w:fldChar w:fldCharType="separate"/>
      </w:r>
      <w:r w:rsidR="00340E1B" w:rsidRPr="005D10C1">
        <w:rPr>
          <w:rFonts w:ascii="Candara" w:hAnsi="Candara"/>
          <w:noProof/>
        </w:rPr>
        <w:t>(Lei n</w:t>
      </w:r>
      <w:r w:rsidR="00340E1B" w:rsidRPr="005D10C1">
        <w:rPr>
          <w:rFonts w:ascii="Candara" w:hAnsi="Candara"/>
          <w:noProof/>
          <w:vertAlign w:val="superscript"/>
        </w:rPr>
        <w:t>o</w:t>
      </w:r>
      <w:r w:rsidR="00340E1B" w:rsidRPr="005D10C1">
        <w:rPr>
          <w:rFonts w:ascii="Candara" w:hAnsi="Candara"/>
          <w:noProof/>
        </w:rPr>
        <w:t xml:space="preserve"> 11.196, 2005)</w:t>
      </w:r>
      <w:r w:rsidR="003B0D24" w:rsidRPr="005D10C1">
        <w:rPr>
          <w:rFonts w:ascii="Candara" w:hAnsi="Candara"/>
        </w:rPr>
        <w:fldChar w:fldCharType="end"/>
      </w:r>
      <w:r w:rsidR="00B638AA" w:rsidRPr="005D10C1">
        <w:rPr>
          <w:rFonts w:ascii="Candara" w:hAnsi="Candara"/>
        </w:rPr>
        <w:t>.</w:t>
      </w:r>
    </w:p>
    <w:p w14:paraId="2DEEE334" w14:textId="77777777" w:rsidR="007E0A7E" w:rsidRPr="005D10C1" w:rsidRDefault="007E0A7E" w:rsidP="006B0B4F">
      <w:pPr>
        <w:spacing w:line="360" w:lineRule="auto"/>
        <w:rPr>
          <w:rFonts w:ascii="Candara" w:hAnsi="Candara"/>
        </w:rPr>
      </w:pPr>
    </w:p>
    <w:p w14:paraId="408F0A1F" w14:textId="77777777" w:rsidR="00D515D4" w:rsidRPr="005D10C1" w:rsidRDefault="00D515D4" w:rsidP="006B0B4F">
      <w:pPr>
        <w:spacing w:line="360" w:lineRule="auto"/>
        <w:rPr>
          <w:rFonts w:ascii="Candara" w:hAnsi="Candara"/>
        </w:rPr>
      </w:pPr>
      <w:r w:rsidRPr="005D10C1">
        <w:rPr>
          <w:rFonts w:ascii="Candara" w:hAnsi="Candara"/>
        </w:rPr>
        <w:t>E</w:t>
      </w:r>
      <w:r w:rsidR="00A324BB" w:rsidRPr="005D10C1">
        <w:rPr>
          <w:rFonts w:ascii="Candara" w:hAnsi="Candara"/>
        </w:rPr>
        <w:t>l Plan de Acción de Ciencia, Tecnología e Innovación (PACTI)</w:t>
      </w:r>
      <w:r w:rsidRPr="005D10C1">
        <w:rPr>
          <w:rFonts w:ascii="Candara" w:hAnsi="Candara"/>
        </w:rPr>
        <w:t xml:space="preserve"> 2007-2010, fue </w:t>
      </w:r>
      <w:r w:rsidR="00A324BB" w:rsidRPr="005D10C1">
        <w:rPr>
          <w:rFonts w:ascii="Candara" w:hAnsi="Candara"/>
        </w:rPr>
        <w:t xml:space="preserve">un instrumento </w:t>
      </w:r>
      <w:r w:rsidR="00651427" w:rsidRPr="005D10C1">
        <w:rPr>
          <w:rFonts w:ascii="Candara" w:hAnsi="Candara"/>
        </w:rPr>
        <w:t xml:space="preserve">en la consolidación del sistema debido a </w:t>
      </w:r>
      <w:r w:rsidRPr="005D10C1">
        <w:rPr>
          <w:rFonts w:ascii="Candara" w:hAnsi="Candara"/>
        </w:rPr>
        <w:t xml:space="preserve">que fortaleció la articulación entre la política de CT&amp;I con las demás políticas de </w:t>
      </w:r>
      <w:r w:rsidR="00A324BB" w:rsidRPr="005D10C1">
        <w:rPr>
          <w:rFonts w:ascii="Candara" w:hAnsi="Candara"/>
        </w:rPr>
        <w:t xml:space="preserve">del Estado </w:t>
      </w:r>
      <w:r w:rsidRPr="005D10C1">
        <w:rPr>
          <w:rFonts w:ascii="Candara" w:hAnsi="Candara"/>
        </w:rPr>
        <w:t>y entre varios actores del sistema nacional de CT&amp;I.</w:t>
      </w:r>
      <w:r w:rsidR="001727C8" w:rsidRPr="005D10C1">
        <w:rPr>
          <w:rFonts w:ascii="Candara" w:hAnsi="Candara"/>
        </w:rPr>
        <w:t xml:space="preserve"> La Estrategia Nacional para Ciencia, Tecnología e Innovación – ENCTI da continuidad a lo propuesto por el PACTI</w:t>
      </w:r>
      <w:r w:rsidR="00340E1B" w:rsidRPr="005D10C1">
        <w:rPr>
          <w:rFonts w:ascii="Candara" w:hAnsi="Candara"/>
        </w:rPr>
        <w:t xml:space="preserve"> </w:t>
      </w:r>
      <w:r w:rsidR="003B0D24" w:rsidRPr="005D10C1">
        <w:rPr>
          <w:rFonts w:ascii="Candara" w:hAnsi="Candara"/>
        </w:rPr>
        <w:fldChar w:fldCharType="begin" w:fldLock="1"/>
      </w:r>
      <w:r w:rsidR="00CA1A09" w:rsidRPr="005D10C1">
        <w:rPr>
          <w:rFonts w:ascii="Candara" w:hAnsi="Candara"/>
        </w:rPr>
        <w:instrText>ADDIN CSL_CITATION { "citationItems" : [ { "id" : "ITEM-1", "itemData" : { "author" : [ { "dropping-particle" : "", "family" : "Minist\u00e9rio da Ci\u00eancia Tecnologia e Inova\u00e7\u00e3o", "given" : "", "non-dropping-particle" : "", "parse-names" : false, "suffix" : "" } ], "id" : "ITEM-1", "issued" : { "date-parts" : [ [ "2012" ] ] }, "publisher-place" : "Brasilia", "title" : "Estrat\u00e9gia Nacional de Ci\u00eancia, Tecnologia e Inova\u00e7\u00e3o 2012 \u2013 2015", "type" : "article" }, "uris" : [ "http://www.mendeley.com/documents/?uuid=58786895-da27-4532-aec7-12a6c2069d4e" ] } ], "mendeley" : { "previouslyFormattedCitation" : "(Minist\u00e9rio da Ci\u00eancia Tecnologia e Inova\u00e7\u00e3o, 2012)" }, "properties" : { "noteIndex" : 0 }, "schema" : "https://github.com/citation-style-language/schema/raw/master/csl-citation.json" }</w:instrText>
      </w:r>
      <w:r w:rsidR="003B0D24" w:rsidRPr="005D10C1">
        <w:rPr>
          <w:rFonts w:ascii="Candara" w:hAnsi="Candara"/>
        </w:rPr>
        <w:fldChar w:fldCharType="separate"/>
      </w:r>
      <w:r w:rsidR="002C2F1B" w:rsidRPr="005D10C1">
        <w:rPr>
          <w:rFonts w:ascii="Candara" w:hAnsi="Candara"/>
          <w:noProof/>
        </w:rPr>
        <w:t>(Ministério da Ciência Tecnologia e Inovação, 2012)</w:t>
      </w:r>
      <w:r w:rsidR="003B0D24" w:rsidRPr="005D10C1">
        <w:rPr>
          <w:rFonts w:ascii="Candara" w:hAnsi="Candara"/>
        </w:rPr>
        <w:fldChar w:fldCharType="end"/>
      </w:r>
      <w:r w:rsidR="001727C8" w:rsidRPr="005D10C1">
        <w:rPr>
          <w:rFonts w:ascii="Candara" w:hAnsi="Candara"/>
        </w:rPr>
        <w:t>.</w:t>
      </w:r>
    </w:p>
    <w:p w14:paraId="4A8424FF" w14:textId="77777777" w:rsidR="00D67AC6" w:rsidRPr="005D10C1" w:rsidRDefault="00D67AC6" w:rsidP="00CA09F6">
      <w:pPr>
        <w:spacing w:line="360" w:lineRule="auto"/>
        <w:rPr>
          <w:rFonts w:ascii="Candara" w:hAnsi="Candara"/>
        </w:rPr>
      </w:pPr>
    </w:p>
    <w:p w14:paraId="4A8C2D64" w14:textId="77777777" w:rsidR="00D67AC6" w:rsidRPr="005D10C1" w:rsidRDefault="00544115" w:rsidP="00D76722">
      <w:pPr>
        <w:spacing w:line="360" w:lineRule="auto"/>
        <w:rPr>
          <w:rFonts w:ascii="Candara" w:hAnsi="Candara"/>
        </w:rPr>
      </w:pPr>
      <w:r w:rsidRPr="005D10C1">
        <w:rPr>
          <w:rFonts w:ascii="Candara" w:hAnsi="Candara"/>
        </w:rPr>
        <w:t xml:space="preserve">Finalmente, el ENCTI permite guiar las acciones del Estado para las actividades de CT&amp;I, en la medida en que se definen programas y se direcciona el aporte de recursos con un enfoque sistémico y estratégico. La integración </w:t>
      </w:r>
      <w:r w:rsidR="00D67AC6" w:rsidRPr="005D10C1">
        <w:rPr>
          <w:rFonts w:ascii="Candara" w:hAnsi="Candara"/>
        </w:rPr>
        <w:t>entre las políticas permite una gestión compartida del sistema de Ciencia, Tecnología e Innovación, teniendo una mayor cobertura y una mejor asignación de los recursos y el conocimiento dentro del sistema</w:t>
      </w:r>
      <w:r w:rsidR="00EC16F9" w:rsidRPr="005D10C1">
        <w:rPr>
          <w:rFonts w:ascii="Candara" w:hAnsi="Candara"/>
        </w:rPr>
        <w:t xml:space="preserve"> </w:t>
      </w:r>
      <w:r w:rsidR="003B0D24" w:rsidRPr="005D10C1">
        <w:rPr>
          <w:rFonts w:ascii="Candara" w:hAnsi="Candara"/>
        </w:rPr>
        <w:fldChar w:fldCharType="begin" w:fldLock="1"/>
      </w:r>
      <w:r w:rsidR="00CA1A09" w:rsidRPr="005D10C1">
        <w:rPr>
          <w:rFonts w:ascii="Candara" w:hAnsi="Candara"/>
        </w:rPr>
        <w:instrText>ADDIN CSL_CITATION { "citationItems" : [ { "id" : "ITEM-1", "itemData" : { "author" : [ { "dropping-particle" : "", "family" : "Ieis", "given" : "Fabiana", "non-dropping-particle" : "", "parse-names" : false, "suffix" : "" } ], "id" : "ITEM-1", "issued" : { "date-parts" : [ [ "2010" ] ] }, "title" : "Sistema Nacional de Ci\u00eancia , Tecnologia e Inova\u00e7\u00e3o no Brasil : o Resultado da Coopera\u00e7\u00e3o nas Empresas Privadas e Estatais a partir de National System of Science , Technology and Innovation in Brasil : the Result of Cooperation in State and Private Compan", "type" : "article-journal" }, "uris" : [ "http://www.mendeley.com/documents/?uuid=81176e6a-bbdc-493f-ba6c-21c53c9a2041" ] } ], "mendeley" : { "previouslyFormattedCitation" : "(Ieis, 2010)" }, "properties" : { "noteIndex" : 0 }, "schema" : "https://github.com/citation-style-language/schema/raw/master/csl-citation.json" }</w:instrText>
      </w:r>
      <w:r w:rsidR="003B0D24" w:rsidRPr="005D10C1">
        <w:rPr>
          <w:rFonts w:ascii="Candara" w:hAnsi="Candara"/>
        </w:rPr>
        <w:fldChar w:fldCharType="separate"/>
      </w:r>
      <w:r w:rsidR="00D67AC6" w:rsidRPr="005D10C1">
        <w:rPr>
          <w:rFonts w:ascii="Candara" w:hAnsi="Candara"/>
          <w:noProof/>
        </w:rPr>
        <w:t>(Ieis, 2010)</w:t>
      </w:r>
      <w:r w:rsidR="003B0D24" w:rsidRPr="005D10C1">
        <w:rPr>
          <w:rFonts w:ascii="Candara" w:hAnsi="Candara"/>
        </w:rPr>
        <w:fldChar w:fldCharType="end"/>
      </w:r>
      <w:r w:rsidR="00D67AC6" w:rsidRPr="005D10C1">
        <w:rPr>
          <w:rFonts w:ascii="Candara" w:hAnsi="Candara"/>
        </w:rPr>
        <w:t>.</w:t>
      </w:r>
    </w:p>
    <w:p w14:paraId="7EB63E99" w14:textId="77777777" w:rsidR="0077238D" w:rsidRPr="005D10C1" w:rsidRDefault="0077238D" w:rsidP="006B0B4F">
      <w:pPr>
        <w:spacing w:line="360" w:lineRule="auto"/>
        <w:rPr>
          <w:rFonts w:ascii="Candara" w:hAnsi="Candara"/>
        </w:rPr>
      </w:pPr>
    </w:p>
    <w:p w14:paraId="308C7BA7" w14:textId="77777777" w:rsidR="000A0BBE" w:rsidRPr="005D10C1" w:rsidRDefault="000A0BBE" w:rsidP="000A0BBE">
      <w:pPr>
        <w:spacing w:line="360" w:lineRule="auto"/>
        <w:rPr>
          <w:rFonts w:ascii="Candara" w:hAnsi="Candara"/>
        </w:rPr>
      </w:pPr>
      <w:r w:rsidRPr="005D10C1">
        <w:rPr>
          <w:rFonts w:ascii="Candara" w:hAnsi="Candara"/>
        </w:rPr>
        <w:t>El Sistema Nacional de Ciencia Tecnología e Innovación de Brasil incorpo</w:t>
      </w:r>
      <w:r w:rsidR="00CA09F6" w:rsidRPr="005D10C1">
        <w:rPr>
          <w:rFonts w:ascii="Candara" w:hAnsi="Candara"/>
        </w:rPr>
        <w:t>r</w:t>
      </w:r>
      <w:r w:rsidRPr="005D10C1">
        <w:rPr>
          <w:rFonts w:ascii="Candara" w:hAnsi="Candara"/>
        </w:rPr>
        <w:t>a los fundamentos de una política de innovación tecnológica.</w:t>
      </w:r>
      <w:r w:rsidR="00651427" w:rsidRPr="005D10C1">
        <w:rPr>
          <w:rFonts w:ascii="Candara" w:hAnsi="Candara"/>
        </w:rPr>
        <w:t xml:space="preserve"> </w:t>
      </w:r>
      <w:r w:rsidRPr="005D10C1">
        <w:rPr>
          <w:rFonts w:ascii="Candara" w:hAnsi="Candara"/>
        </w:rPr>
        <w:t xml:space="preserve">El fortalecimiento del sistema se realiza a través de asociaciones con los gobiernos de los estados y el Distrito Federal, que participan en la ejecución de proyectos. El Ministerio también da órdenes para incluir estados que no son atendidos por convocatorias públicas. Con esto, algunos hacen uso </w:t>
      </w:r>
      <w:r w:rsidRPr="005D10C1">
        <w:rPr>
          <w:rFonts w:ascii="Candara" w:hAnsi="Candara"/>
        </w:rPr>
        <w:lastRenderedPageBreak/>
        <w:t xml:space="preserve">de programas como el </w:t>
      </w:r>
      <w:r w:rsidRPr="005D10C1">
        <w:rPr>
          <w:rFonts w:ascii="Candara" w:hAnsi="Candara"/>
          <w:i/>
        </w:rPr>
        <w:t>Programa de Apoio à Pesquisa em Empresas</w:t>
      </w:r>
      <w:r w:rsidR="002A728C" w:rsidRPr="005D10C1">
        <w:rPr>
          <w:rFonts w:ascii="Candara" w:hAnsi="Candara"/>
          <w:i/>
        </w:rPr>
        <w:t xml:space="preserve"> </w:t>
      </w:r>
      <w:r w:rsidR="008D4B4A" w:rsidRPr="005D10C1">
        <w:rPr>
          <w:rFonts w:ascii="Candara" w:hAnsi="Candara"/>
        </w:rPr>
        <w:t>(Pappe)</w:t>
      </w:r>
      <w:r w:rsidRPr="005D10C1">
        <w:rPr>
          <w:rFonts w:ascii="Candara" w:hAnsi="Candara"/>
        </w:rPr>
        <w:t xml:space="preserve">-Programa de Apoyo a la Investigación en empresas, y el </w:t>
      </w:r>
      <w:r w:rsidRPr="005D10C1">
        <w:rPr>
          <w:rFonts w:ascii="Candara" w:hAnsi="Candara"/>
          <w:i/>
        </w:rPr>
        <w:t>Pappe Subvenção</w:t>
      </w:r>
      <w:r w:rsidRPr="005D10C1">
        <w:rPr>
          <w:rFonts w:ascii="Candara" w:hAnsi="Candara"/>
        </w:rPr>
        <w:t>.</w:t>
      </w:r>
    </w:p>
    <w:p w14:paraId="18708A1D" w14:textId="77777777" w:rsidR="002A728C" w:rsidRPr="005D10C1" w:rsidRDefault="002A728C" w:rsidP="000A0BBE">
      <w:pPr>
        <w:spacing w:line="360" w:lineRule="auto"/>
        <w:rPr>
          <w:rFonts w:ascii="Candara" w:hAnsi="Candara"/>
        </w:rPr>
      </w:pPr>
    </w:p>
    <w:p w14:paraId="306F4936" w14:textId="77777777" w:rsidR="002A728C" w:rsidRPr="005D10C1" w:rsidRDefault="002A728C" w:rsidP="000A0BBE">
      <w:pPr>
        <w:spacing w:line="360" w:lineRule="auto"/>
        <w:rPr>
          <w:rFonts w:ascii="Candara" w:hAnsi="Candara"/>
        </w:rPr>
      </w:pPr>
      <w:r w:rsidRPr="005D10C1">
        <w:rPr>
          <w:rFonts w:ascii="Candara" w:hAnsi="Candara"/>
        </w:rPr>
        <w:t>El sistema público de investigación está compuesto por 109 universidades públicas y 39 universidades estatales</w:t>
      </w:r>
      <w:r w:rsidR="00F524E0" w:rsidRPr="005D10C1">
        <w:rPr>
          <w:rFonts w:ascii="Candara" w:hAnsi="Candara"/>
        </w:rPr>
        <w:t xml:space="preserve"> </w:t>
      </w:r>
      <w:r w:rsidR="003B0D24" w:rsidRPr="005D10C1">
        <w:rPr>
          <w:rFonts w:ascii="Candara" w:hAnsi="Candara"/>
        </w:rPr>
        <w:fldChar w:fldCharType="begin" w:fldLock="1"/>
      </w:r>
      <w:r w:rsidR="00CA1A09" w:rsidRPr="005D10C1">
        <w:rPr>
          <w:rFonts w:ascii="Candara" w:hAnsi="Candara"/>
        </w:rPr>
        <w:instrText>ADDIN CSL_CITATION { "citationItems" : [ { "id" : "ITEM-1", "itemData" : { "URL" : "http://portal.mec.gov.br/", "author" : [ { "dropping-particle" : "", "family" : "Minist\u00e9rio da Educa\u00e7\u00e3o", "given" : "", "non-dropping-particle" : "", "parse-names" : false, "suffix" : "" } ], "id" : "ITEM-1", "issued" : { "date-parts" : [ [ "2013" ] ] }, "title" : "Minist\u00e9rio da Educa\u00e7\u00e3o", "type" : "webpage" }, "uris" : [ "http://www.mendeley.com/documents/?uuid=5e50965b-e20f-4e17-9081-827e97087e3c" ] } ], "mendeley" : { "previouslyFormattedCitation" : "(Minist\u00e9rio da Educa\u00e7\u00e3o, 2013)" }, "properties" : { "noteIndex" : 0 }, "schema" : "https://github.com/citation-style-language/schema/raw/master/csl-citation.json" }</w:instrText>
      </w:r>
      <w:r w:rsidR="003B0D24" w:rsidRPr="005D10C1">
        <w:rPr>
          <w:rFonts w:ascii="Candara" w:hAnsi="Candara"/>
        </w:rPr>
        <w:fldChar w:fldCharType="separate"/>
      </w:r>
      <w:r w:rsidR="00D12703" w:rsidRPr="005D10C1">
        <w:rPr>
          <w:rFonts w:ascii="Candara" w:hAnsi="Candara"/>
          <w:noProof/>
        </w:rPr>
        <w:t>(Ministério da Educação, 2013)</w:t>
      </w:r>
      <w:r w:rsidR="003B0D24" w:rsidRPr="005D10C1">
        <w:rPr>
          <w:rFonts w:ascii="Candara" w:hAnsi="Candara"/>
        </w:rPr>
        <w:fldChar w:fldCharType="end"/>
      </w:r>
      <w:r w:rsidRPr="005D10C1">
        <w:rPr>
          <w:rFonts w:ascii="Candara" w:hAnsi="Candara"/>
        </w:rPr>
        <w:t xml:space="preserve">, </w:t>
      </w:r>
      <w:r w:rsidR="007B29CD" w:rsidRPr="005D10C1">
        <w:rPr>
          <w:rFonts w:ascii="Candara" w:hAnsi="Candara"/>
        </w:rPr>
        <w:t xml:space="preserve">126 </w:t>
      </w:r>
      <w:r w:rsidRPr="005D10C1">
        <w:rPr>
          <w:rFonts w:ascii="Candara" w:hAnsi="Candara"/>
        </w:rPr>
        <w:t>Institutos Nacionales de Ciencia y Tecnología</w:t>
      </w:r>
      <w:r w:rsidR="00375CD8" w:rsidRPr="005D10C1">
        <w:rPr>
          <w:rFonts w:ascii="Candara" w:hAnsi="Candara"/>
        </w:rPr>
        <w:t xml:space="preserve">, 21 Unidades de Investigación Científica y Tecnológica del MCTI y 4 agencias </w:t>
      </w:r>
      <w:r w:rsidR="003B0D24" w:rsidRPr="005D10C1">
        <w:rPr>
          <w:rFonts w:ascii="Candara" w:hAnsi="Candara"/>
        </w:rPr>
        <w:fldChar w:fldCharType="begin" w:fldLock="1"/>
      </w:r>
      <w:r w:rsidR="00CA1A09" w:rsidRPr="005D10C1">
        <w:rPr>
          <w:rFonts w:ascii="Candara" w:hAnsi="Candara"/>
        </w:rPr>
        <w:instrText>ADDIN CSL_CITATION { "citationItems" : [ { "id" : "ITEM-1", "itemData" : { "author" : [ { "dropping-particle" : "", "family" : "Minist\u00e9rio da Ci\u00eancia Tecnologia e Inova\u00e7\u00e3o", "given" : "", "non-dropping-particle" : "", "parse-names" : false, "suffix" : "" } ], "id" : "ITEM-1", "issued" : { "date-parts" : [ [ "2013" ] ] }, "title" : "Institutos Nacionais de Ci\u00eancia e Tecnologia", "type" : "article" }, "uris" : [ "http://www.mendeley.com/documents/?uuid=10e46b29-8eed-41ba-ada3-4a597d1f6014" ] } ], "mendeley" : { "previouslyFormattedCitation" : "(Minist\u00e9rio da Ci\u00eancia Tecnologia e Inova\u00e7\u00e3o, 2013)" }, "properties" : { "noteIndex" : 0 }, "schema" : "https://github.com/citation-style-language/schema/raw/master/csl-citation.json" }</w:instrText>
      </w:r>
      <w:r w:rsidR="003B0D24" w:rsidRPr="005D10C1">
        <w:rPr>
          <w:rFonts w:ascii="Candara" w:hAnsi="Candara"/>
        </w:rPr>
        <w:fldChar w:fldCharType="separate"/>
      </w:r>
      <w:r w:rsidR="00375CD8" w:rsidRPr="005D10C1">
        <w:rPr>
          <w:rFonts w:ascii="Candara" w:hAnsi="Candara"/>
          <w:noProof/>
        </w:rPr>
        <w:t>(Ministério da Ciência Tecnologia e Inovação, 2013)</w:t>
      </w:r>
      <w:r w:rsidR="003B0D24" w:rsidRPr="005D10C1">
        <w:rPr>
          <w:rFonts w:ascii="Candara" w:hAnsi="Candara"/>
        </w:rPr>
        <w:fldChar w:fldCharType="end"/>
      </w:r>
      <w:r w:rsidR="00375CD8" w:rsidRPr="005D10C1">
        <w:rPr>
          <w:rFonts w:ascii="Candara" w:hAnsi="Candara"/>
        </w:rPr>
        <w:t>.</w:t>
      </w:r>
    </w:p>
    <w:p w14:paraId="38586BD1" w14:textId="77777777" w:rsidR="000A0BBE" w:rsidRPr="005D10C1" w:rsidRDefault="000A0BBE" w:rsidP="006B0B4F">
      <w:pPr>
        <w:spacing w:line="360" w:lineRule="auto"/>
        <w:rPr>
          <w:rFonts w:ascii="Candara" w:hAnsi="Candara"/>
        </w:rPr>
      </w:pPr>
    </w:p>
    <w:p w14:paraId="332D0A8B" w14:textId="77777777" w:rsidR="00656DF9" w:rsidRPr="005D10C1" w:rsidRDefault="00656DF9" w:rsidP="006B0B4F">
      <w:pPr>
        <w:spacing w:line="360" w:lineRule="auto"/>
        <w:rPr>
          <w:rFonts w:ascii="Candara" w:hAnsi="Candara"/>
        </w:rPr>
      </w:pPr>
      <w:r w:rsidRPr="005D10C1">
        <w:rPr>
          <w:rFonts w:ascii="Candara" w:hAnsi="Candara"/>
        </w:rPr>
        <w:t xml:space="preserve">En la </w:t>
      </w:r>
      <w:r w:rsidR="00A57352">
        <w:fldChar w:fldCharType="begin"/>
      </w:r>
      <w:r w:rsidR="00A57352">
        <w:instrText xml:space="preserve"> REF _Ref374622074 \h  \* MERGEFORMAT </w:instrText>
      </w:r>
      <w:r w:rsidR="00A57352">
        <w:fldChar w:fldCharType="separate"/>
      </w:r>
      <w:r w:rsidR="005D10C1" w:rsidRPr="005D10C1">
        <w:rPr>
          <w:rFonts w:ascii="Candara" w:hAnsi="Candara"/>
        </w:rPr>
        <w:t>Ilustración 4</w:t>
      </w:r>
      <w:r w:rsidR="00A57352">
        <w:fldChar w:fldCharType="end"/>
      </w:r>
      <w:r w:rsidR="00F66898" w:rsidRPr="005D10C1">
        <w:rPr>
          <w:rFonts w:ascii="Candara" w:hAnsi="Candara"/>
        </w:rPr>
        <w:t xml:space="preserve"> </w:t>
      </w:r>
      <w:r w:rsidR="005F63E8" w:rsidRPr="005D10C1">
        <w:rPr>
          <w:rFonts w:ascii="Candara" w:hAnsi="Candara"/>
        </w:rPr>
        <w:t>se presenta</w:t>
      </w:r>
      <w:r w:rsidRPr="005D10C1">
        <w:rPr>
          <w:rFonts w:ascii="Candara" w:hAnsi="Candara"/>
        </w:rPr>
        <w:t xml:space="preserve"> una estructura </w:t>
      </w:r>
      <w:r w:rsidR="00DE724D" w:rsidRPr="005D10C1">
        <w:rPr>
          <w:rFonts w:ascii="Candara" w:hAnsi="Candara"/>
        </w:rPr>
        <w:t xml:space="preserve">de la consolidación </w:t>
      </w:r>
      <w:r w:rsidRPr="005D10C1">
        <w:rPr>
          <w:rFonts w:ascii="Candara" w:hAnsi="Candara"/>
        </w:rPr>
        <w:t xml:space="preserve">del sistema de innovación brasilero en el cual identifica los sectores que lo componen y las políticas </w:t>
      </w:r>
      <w:r w:rsidR="005F63E8" w:rsidRPr="005D10C1">
        <w:rPr>
          <w:rFonts w:ascii="Candara" w:hAnsi="Candara"/>
        </w:rPr>
        <w:t>establecidas</w:t>
      </w:r>
      <w:r w:rsidRPr="005D10C1">
        <w:rPr>
          <w:rFonts w:ascii="Candara" w:hAnsi="Candara"/>
        </w:rPr>
        <w:t xml:space="preserve"> con el fin de expandir y consolidar dicho sistema</w:t>
      </w:r>
      <w:r w:rsidR="00DE724D" w:rsidRPr="005D10C1">
        <w:rPr>
          <w:rFonts w:ascii="Candara" w:hAnsi="Candara"/>
        </w:rPr>
        <w:t xml:space="preserve">, a su vez, es claro que el eje de este sistema es el </w:t>
      </w:r>
      <w:r w:rsidR="002C2F1B" w:rsidRPr="005D10C1">
        <w:rPr>
          <w:rFonts w:ascii="Candara" w:hAnsi="Candara"/>
        </w:rPr>
        <w:t>EN</w:t>
      </w:r>
      <w:r w:rsidR="00DE724D" w:rsidRPr="005D10C1">
        <w:rPr>
          <w:rFonts w:ascii="Candara" w:hAnsi="Candara"/>
        </w:rPr>
        <w:t>CTI</w:t>
      </w:r>
      <w:r w:rsidR="00026978" w:rsidRPr="005D10C1">
        <w:rPr>
          <w:rFonts w:ascii="Candara" w:hAnsi="Candara"/>
        </w:rPr>
        <w:t xml:space="preserve"> </w:t>
      </w:r>
      <w:r w:rsidR="003B0D24" w:rsidRPr="005D10C1">
        <w:rPr>
          <w:rFonts w:ascii="Candara" w:hAnsi="Candara"/>
        </w:rPr>
        <w:fldChar w:fldCharType="begin" w:fldLock="1"/>
      </w:r>
      <w:r w:rsidR="00CA1A09" w:rsidRPr="005D10C1">
        <w:rPr>
          <w:rFonts w:ascii="Candara" w:hAnsi="Candara"/>
        </w:rPr>
        <w:instrText>ADDIN CSL_CITATION { "citationItems" : [ { "id" : "ITEM-1", "itemData" : { "author" : [ { "dropping-particle" : "", "family" : "Minist\u00e9rio da Ci\u00eancia Tecnologia e Inova\u00e7\u00e3o", "given" : "", "non-dropping-particle" : "", "parse-names" : false, "suffix" : "" } ], "id" : "ITEM-1", "issued" : { "date-parts" : [ [ "2012" ] ] }, "publisher-place" : "Brasilia", "title" : "Estrat\u00e9gia Nacional de Ci\u00eancia, Tecnologia e Inova\u00e7\u00e3o 2012 \u2013 2015", "type" : "article" }, "uris" : [ "http://www.mendeley.com/documents/?uuid=58786895-da27-4532-aec7-12a6c2069d4e" ] } ], "mendeley" : { "previouslyFormattedCitation" : "(Minist\u00e9rio da Ci\u00eancia Tecnologia e Inova\u00e7\u00e3o, 2012)" }, "properties" : { "noteIndex" : 0 }, "schema" : "https://github.com/citation-style-language/schema/raw/master/csl-citation.json" }</w:instrText>
      </w:r>
      <w:r w:rsidR="003B0D24" w:rsidRPr="005D10C1">
        <w:rPr>
          <w:rFonts w:ascii="Candara" w:hAnsi="Candara"/>
        </w:rPr>
        <w:fldChar w:fldCharType="separate"/>
      </w:r>
      <w:r w:rsidR="002C2F1B" w:rsidRPr="005D10C1">
        <w:rPr>
          <w:rFonts w:ascii="Candara" w:hAnsi="Candara"/>
          <w:noProof/>
        </w:rPr>
        <w:t>(Ministério da Ciência Tecnologia e Inovação, 2012)</w:t>
      </w:r>
      <w:r w:rsidR="003B0D24" w:rsidRPr="005D10C1">
        <w:rPr>
          <w:rFonts w:ascii="Candara" w:hAnsi="Candara"/>
        </w:rPr>
        <w:fldChar w:fldCharType="end"/>
      </w:r>
      <w:r w:rsidRPr="005D10C1">
        <w:rPr>
          <w:rFonts w:ascii="Candara" w:hAnsi="Candara"/>
        </w:rPr>
        <w:t>.</w:t>
      </w:r>
    </w:p>
    <w:p w14:paraId="61FA3343" w14:textId="77777777" w:rsidR="00026978" w:rsidRPr="005D10C1" w:rsidRDefault="00026978" w:rsidP="006B0B4F">
      <w:pPr>
        <w:spacing w:line="360" w:lineRule="auto"/>
        <w:rPr>
          <w:rFonts w:ascii="Candara" w:hAnsi="Candara"/>
        </w:rPr>
      </w:pPr>
    </w:p>
    <w:p w14:paraId="568D7717" w14:textId="77777777" w:rsidR="00026978" w:rsidRPr="005D10C1" w:rsidRDefault="00026978" w:rsidP="003E4DC0">
      <w:pPr>
        <w:spacing w:line="360" w:lineRule="auto"/>
        <w:jc w:val="center"/>
        <w:rPr>
          <w:rFonts w:ascii="Candara" w:hAnsi="Candara"/>
        </w:rPr>
      </w:pPr>
      <w:r w:rsidRPr="005D10C1">
        <w:rPr>
          <w:rFonts w:ascii="Candara" w:hAnsi="Candara"/>
        </w:rPr>
        <w:object w:dxaOrig="7126" w:dyaOrig="5333" w14:anchorId="69BBFE38">
          <v:shape id="_x0000_i1026" type="#_x0000_t75" style="width:357pt;height:267pt" o:ole="">
            <v:imagedata r:id="rId15" o:title=""/>
          </v:shape>
          <o:OLEObject Type="Embed" ProgID="PowerPoint.Slide.12" ShapeID="_x0000_i1026" DrawAspect="Content" ObjectID="_1620469849" r:id="rId16"/>
        </w:object>
      </w:r>
    </w:p>
    <w:p w14:paraId="0C1EA0D3" w14:textId="77777777" w:rsidR="00656DF9" w:rsidRPr="005D10C1" w:rsidRDefault="00F66898" w:rsidP="00F66898">
      <w:pPr>
        <w:pStyle w:val="Descripcin"/>
        <w:rPr>
          <w:rFonts w:ascii="Candara" w:hAnsi="Candara"/>
          <w:b w:val="0"/>
          <w:color w:val="auto"/>
        </w:rPr>
      </w:pPr>
      <w:bookmarkStart w:id="242" w:name="_Ref374622074"/>
      <w:bookmarkStart w:id="243" w:name="_Toc377652595"/>
      <w:bookmarkStart w:id="244" w:name="_Ref369595948"/>
      <w:bookmarkStart w:id="245" w:name="_Ref369595942"/>
      <w:bookmarkStart w:id="246" w:name="_Toc374621194"/>
      <w:r w:rsidRPr="005D10C1">
        <w:rPr>
          <w:rFonts w:ascii="Candara" w:hAnsi="Candara"/>
          <w:b w:val="0"/>
          <w:color w:val="auto"/>
        </w:rPr>
        <w:t xml:space="preserve">Ilustración </w:t>
      </w:r>
      <w:r w:rsidR="003B0D24" w:rsidRPr="005D10C1">
        <w:rPr>
          <w:rFonts w:ascii="Candara" w:hAnsi="Candara"/>
          <w:b w:val="0"/>
          <w:color w:val="auto"/>
        </w:rPr>
        <w:fldChar w:fldCharType="begin"/>
      </w:r>
      <w:r w:rsidRPr="005D10C1">
        <w:rPr>
          <w:rFonts w:ascii="Candara" w:hAnsi="Candara"/>
          <w:b w:val="0"/>
          <w:color w:val="auto"/>
        </w:rPr>
        <w:instrText xml:space="preserve"> SEQ Ilustración \* ARABIC </w:instrText>
      </w:r>
      <w:r w:rsidR="003B0D24" w:rsidRPr="005D10C1">
        <w:rPr>
          <w:rFonts w:ascii="Candara" w:hAnsi="Candara"/>
          <w:b w:val="0"/>
          <w:color w:val="auto"/>
        </w:rPr>
        <w:fldChar w:fldCharType="separate"/>
      </w:r>
      <w:r w:rsidR="005D10C1">
        <w:rPr>
          <w:rFonts w:ascii="Candara" w:hAnsi="Candara"/>
          <w:b w:val="0"/>
          <w:noProof/>
          <w:color w:val="auto"/>
        </w:rPr>
        <w:t>4</w:t>
      </w:r>
      <w:r w:rsidR="003B0D24" w:rsidRPr="005D10C1">
        <w:rPr>
          <w:rFonts w:ascii="Candara" w:hAnsi="Candara"/>
          <w:b w:val="0"/>
          <w:color w:val="auto"/>
        </w:rPr>
        <w:fldChar w:fldCharType="end"/>
      </w:r>
      <w:bookmarkEnd w:id="242"/>
      <w:r w:rsidRPr="005D10C1">
        <w:rPr>
          <w:rFonts w:ascii="Candara" w:hAnsi="Candara"/>
          <w:b w:val="0"/>
          <w:color w:val="auto"/>
        </w:rPr>
        <w:t>: Sistema de Innovación de Brasil. Tomado del Ministério da Ciência Tecnologia e Inovação.</w:t>
      </w:r>
      <w:bookmarkEnd w:id="243"/>
      <w:r w:rsidRPr="005D10C1">
        <w:rPr>
          <w:rFonts w:ascii="Candara" w:hAnsi="Candara"/>
          <w:b w:val="0"/>
          <w:color w:val="auto"/>
        </w:rPr>
        <w:t xml:space="preserve"> </w:t>
      </w:r>
      <w:bookmarkEnd w:id="244"/>
      <w:bookmarkEnd w:id="245"/>
      <w:bookmarkEnd w:id="246"/>
    </w:p>
    <w:p w14:paraId="0E0C6E9C" w14:textId="77777777" w:rsidR="00656DF9" w:rsidRPr="005D10C1" w:rsidRDefault="00656DF9" w:rsidP="006B0B4F">
      <w:pPr>
        <w:spacing w:line="360" w:lineRule="auto"/>
        <w:rPr>
          <w:rFonts w:ascii="Candara" w:hAnsi="Candara"/>
        </w:rPr>
      </w:pPr>
    </w:p>
    <w:p w14:paraId="0DFC13BE" w14:textId="77777777" w:rsidR="00AC4143" w:rsidRPr="005D10C1" w:rsidRDefault="00AC4143" w:rsidP="00AC4143">
      <w:pPr>
        <w:spacing w:line="360" w:lineRule="auto"/>
        <w:rPr>
          <w:rFonts w:ascii="Candara" w:hAnsi="Candara"/>
        </w:rPr>
      </w:pPr>
      <w:r w:rsidRPr="005D10C1">
        <w:rPr>
          <w:rFonts w:ascii="Candara" w:hAnsi="Candara"/>
        </w:rPr>
        <w:lastRenderedPageBreak/>
        <w:t xml:space="preserve">El gasto de I+D en Brasil se encuentra relacionado en la </w:t>
      </w:r>
      <w:r w:rsidR="00A57352">
        <w:fldChar w:fldCharType="begin"/>
      </w:r>
      <w:r w:rsidR="00A57352">
        <w:instrText xml:space="preserve"> REF _Ref374517642 \h  \* MERGEFORMAT </w:instrText>
      </w:r>
      <w:r w:rsidR="00A57352">
        <w:fldChar w:fldCharType="separate"/>
      </w:r>
      <w:r w:rsidR="005D10C1" w:rsidRPr="005D10C1">
        <w:rPr>
          <w:rFonts w:ascii="Candara" w:hAnsi="Candara"/>
        </w:rPr>
        <w:t>Ilustración 5</w:t>
      </w:r>
      <w:r w:rsidR="005D10C1" w:rsidRPr="005D10C1">
        <w:rPr>
          <w:rFonts w:ascii="Candara" w:hAnsi="Candara"/>
          <w:b/>
        </w:rPr>
        <w:t xml:space="preserve">: Gasto de I+D en Brasil. Tomado del Banco Mundial </w:t>
      </w:r>
      <w:r w:rsidR="00A57352">
        <w:fldChar w:fldCharType="end"/>
      </w:r>
      <w:r w:rsidR="00A57352">
        <w:fldChar w:fldCharType="begin"/>
      </w:r>
      <w:r w:rsidR="00A57352">
        <w:instrText xml:space="preserve"> REF _Ref372123597 \h  \* MERGEFORMAT </w:instrText>
      </w:r>
      <w:r w:rsidR="00A57352">
        <w:fldChar w:fldCharType="separate"/>
      </w:r>
      <w:r w:rsidR="005D10C1" w:rsidRPr="005D10C1">
        <w:rPr>
          <w:rFonts w:ascii="Candara" w:hAnsi="Candara" w:cstheme="minorHAnsi"/>
          <w:b/>
          <w:sz w:val="20"/>
        </w:rPr>
        <w:t xml:space="preserve">Ilustración </w:t>
      </w:r>
      <w:r w:rsidR="005D10C1">
        <w:rPr>
          <w:rFonts w:ascii="Candara" w:hAnsi="Candara" w:cstheme="minorHAnsi"/>
          <w:b/>
          <w:noProof/>
          <w:sz w:val="20"/>
        </w:rPr>
        <w:t>7</w:t>
      </w:r>
      <w:r w:rsidR="005D10C1" w:rsidRPr="005D10C1">
        <w:rPr>
          <w:rFonts w:ascii="Candara" w:hAnsi="Candara" w:cstheme="minorHAnsi"/>
          <w:b/>
          <w:sz w:val="20"/>
        </w:rPr>
        <w:t>: Gasto de I+D en Francia</w:t>
      </w:r>
      <w:r w:rsidR="00A57352">
        <w:fldChar w:fldCharType="end"/>
      </w:r>
      <w:r w:rsidR="003B0D24" w:rsidRPr="005D10C1">
        <w:rPr>
          <w:rFonts w:ascii="Candara" w:hAnsi="Candara"/>
        </w:rPr>
        <w:fldChar w:fldCharType="begin"/>
      </w:r>
      <w:r w:rsidRPr="005D10C1">
        <w:rPr>
          <w:rFonts w:ascii="Candara" w:hAnsi="Candara"/>
        </w:rPr>
        <w:instrText xml:space="preserve"> REF _Ref372123151 \h  \* MERGEFORMAT </w:instrText>
      </w:r>
      <w:r w:rsidR="003B0D24" w:rsidRPr="005D10C1">
        <w:rPr>
          <w:rFonts w:ascii="Candara" w:hAnsi="Candara"/>
        </w:rPr>
      </w:r>
      <w:r w:rsidR="003B0D24" w:rsidRPr="005D10C1">
        <w:rPr>
          <w:rFonts w:ascii="Candara" w:hAnsi="Candara"/>
        </w:rPr>
        <w:fldChar w:fldCharType="separate"/>
      </w:r>
      <w:r w:rsidR="005D10C1">
        <w:rPr>
          <w:rFonts w:ascii="Candara" w:hAnsi="Candara"/>
          <w:b/>
          <w:bCs/>
          <w:lang w:val="es-ES"/>
        </w:rPr>
        <w:t>¡Error! No se encuentra el origen de la referencia.</w:t>
      </w:r>
      <w:r w:rsidR="003B0D24" w:rsidRPr="005D10C1">
        <w:rPr>
          <w:rFonts w:ascii="Candara" w:hAnsi="Candara"/>
        </w:rPr>
        <w:fldChar w:fldCharType="end"/>
      </w:r>
      <w:r w:rsidRPr="005D10C1">
        <w:rPr>
          <w:rFonts w:ascii="Candara" w:hAnsi="Candara"/>
        </w:rPr>
        <w:t xml:space="preserve">, éste se expresa como el porcentaje del Producto Interno Bruto que se destina para que el sistema nacional de innovación funciones. En los años mostrados en esta gráfica se evidencia que el gasto de I+D desde el 2006 se ha mantenido sobre el 1% del PIB, siendo para 2010 de 1,16%, lo cual equivale a US$24.859 millones </w:t>
      </w:r>
      <w:r w:rsidR="003B0D24" w:rsidRPr="005D10C1">
        <w:rPr>
          <w:rFonts w:ascii="Candara" w:hAnsi="Candara"/>
        </w:rPr>
        <w:fldChar w:fldCharType="begin" w:fldLock="1"/>
      </w:r>
      <w:r w:rsidR="00CA1A09" w:rsidRPr="005D10C1">
        <w:rPr>
          <w:rFonts w:ascii="Candara" w:hAnsi="Candara"/>
        </w:rPr>
        <w:instrText>ADDIN CSL_CITATION { "citationItems" : [ { "id" : "ITEM-1", "itemData" : { "URL" : "http://www.bancomundial.org/", "author" : [ { "dropping-particle" : "", "family" : "Banco Mundial", "given" : "", "non-dropping-particle" : "", "parse-names" : false, "suffix" : "" } ], "id" : "ITEM-1", "issued" : { "date-parts" : [ [ "2013" ] ] }, "title" : "Banco Mundial", "type" : "webpage" }, "uris" : [ "http://www.mendeley.com/documents/?uuid=7fb659e3-00fd-43f6-a0f0-35291f6090dc" ] } ], "mendeley" : { "previouslyFormattedCitation" : "(Banco Mundial, 2013)" }, "properties" : { "noteIndex" : 0 }, "schema" : "https://github.com/citation-style-language/schema/raw/master/csl-citation.json" }</w:instrText>
      </w:r>
      <w:r w:rsidR="003B0D24" w:rsidRPr="005D10C1">
        <w:rPr>
          <w:rFonts w:ascii="Candara" w:hAnsi="Candara"/>
        </w:rPr>
        <w:fldChar w:fldCharType="separate"/>
      </w:r>
      <w:r w:rsidR="00F25D82" w:rsidRPr="005D10C1">
        <w:rPr>
          <w:rFonts w:ascii="Candara" w:hAnsi="Candara"/>
          <w:noProof/>
        </w:rPr>
        <w:t>(Banco Mundial, 2013)</w:t>
      </w:r>
      <w:r w:rsidR="003B0D24" w:rsidRPr="005D10C1">
        <w:rPr>
          <w:rFonts w:ascii="Candara" w:hAnsi="Candara"/>
        </w:rPr>
        <w:fldChar w:fldCharType="end"/>
      </w:r>
      <w:r w:rsidRPr="005D10C1">
        <w:rPr>
          <w:rFonts w:ascii="Candara" w:hAnsi="Candara"/>
        </w:rPr>
        <w:t>.</w:t>
      </w:r>
    </w:p>
    <w:p w14:paraId="1A8E14ED" w14:textId="77777777" w:rsidR="00AC4143" w:rsidRPr="005D10C1" w:rsidRDefault="00AC4143" w:rsidP="006B0B4F">
      <w:pPr>
        <w:spacing w:line="360" w:lineRule="auto"/>
        <w:rPr>
          <w:rFonts w:ascii="Candara" w:hAnsi="Candara"/>
        </w:rPr>
      </w:pPr>
    </w:p>
    <w:p w14:paraId="57C584B7" w14:textId="77777777" w:rsidR="00AC4143" w:rsidRPr="005D10C1" w:rsidRDefault="00AC4143" w:rsidP="006B0B4F">
      <w:pPr>
        <w:spacing w:line="360" w:lineRule="auto"/>
        <w:rPr>
          <w:rFonts w:ascii="Candara" w:hAnsi="Candara"/>
        </w:rPr>
      </w:pPr>
    </w:p>
    <w:p w14:paraId="4F81384C" w14:textId="77777777" w:rsidR="00AC4143" w:rsidRPr="005D10C1" w:rsidRDefault="00AC4143" w:rsidP="006F0A0E">
      <w:pPr>
        <w:spacing w:line="360" w:lineRule="auto"/>
        <w:jc w:val="center"/>
        <w:rPr>
          <w:rFonts w:ascii="Candara" w:hAnsi="Candara"/>
          <w:lang w:val="pt-BR"/>
        </w:rPr>
      </w:pPr>
      <w:r w:rsidRPr="005D10C1">
        <w:rPr>
          <w:rFonts w:ascii="Candara" w:hAnsi="Candara"/>
          <w:noProof/>
          <w:lang w:eastAsia="es-CO"/>
        </w:rPr>
        <w:drawing>
          <wp:inline distT="0" distB="0" distL="0" distR="0" wp14:anchorId="6C148980" wp14:editId="6AEBE790">
            <wp:extent cx="4572000" cy="2743200"/>
            <wp:effectExtent l="0" t="0" r="0" b="0"/>
            <wp:docPr id="4"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2B5990F4" w14:textId="77777777" w:rsidR="003E4DC0" w:rsidRPr="005D10C1" w:rsidRDefault="00F66898" w:rsidP="00F66898">
      <w:pPr>
        <w:pStyle w:val="Descripcin"/>
        <w:rPr>
          <w:rFonts w:ascii="Candara" w:hAnsi="Candara"/>
          <w:color w:val="auto"/>
        </w:rPr>
      </w:pPr>
      <w:bookmarkStart w:id="247" w:name="_Toc377652596"/>
      <w:bookmarkStart w:id="248" w:name="_Ref374517642"/>
      <w:bookmarkStart w:id="249" w:name="_Toc374621195"/>
      <w:r w:rsidRPr="005D10C1">
        <w:rPr>
          <w:rFonts w:ascii="Candara" w:hAnsi="Candara"/>
          <w:b w:val="0"/>
          <w:color w:val="auto"/>
        </w:rPr>
        <w:t xml:space="preserve">Ilustración </w:t>
      </w:r>
      <w:r w:rsidR="003B0D24" w:rsidRPr="005D10C1">
        <w:rPr>
          <w:rFonts w:ascii="Candara" w:hAnsi="Candara"/>
          <w:b w:val="0"/>
          <w:color w:val="auto"/>
        </w:rPr>
        <w:fldChar w:fldCharType="begin"/>
      </w:r>
      <w:r w:rsidRPr="005D10C1">
        <w:rPr>
          <w:rFonts w:ascii="Candara" w:hAnsi="Candara"/>
          <w:b w:val="0"/>
          <w:color w:val="auto"/>
        </w:rPr>
        <w:instrText xml:space="preserve"> SEQ Ilustración \* ARABIC </w:instrText>
      </w:r>
      <w:r w:rsidR="003B0D24" w:rsidRPr="005D10C1">
        <w:rPr>
          <w:rFonts w:ascii="Candara" w:hAnsi="Candara"/>
          <w:b w:val="0"/>
          <w:color w:val="auto"/>
        </w:rPr>
        <w:fldChar w:fldCharType="separate"/>
      </w:r>
      <w:r w:rsidR="005D10C1">
        <w:rPr>
          <w:rFonts w:ascii="Candara" w:hAnsi="Candara"/>
          <w:b w:val="0"/>
          <w:noProof/>
          <w:color w:val="auto"/>
        </w:rPr>
        <w:t>5</w:t>
      </w:r>
      <w:r w:rsidR="003B0D24" w:rsidRPr="005D10C1">
        <w:rPr>
          <w:rFonts w:ascii="Candara" w:hAnsi="Candara"/>
          <w:b w:val="0"/>
          <w:color w:val="auto"/>
        </w:rPr>
        <w:fldChar w:fldCharType="end"/>
      </w:r>
      <w:r w:rsidRPr="005D10C1">
        <w:rPr>
          <w:rFonts w:ascii="Candara" w:hAnsi="Candara"/>
          <w:b w:val="0"/>
          <w:color w:val="auto"/>
        </w:rPr>
        <w:t>: Gasto de I+D en Brasil. Tomado del Banco Mundial</w:t>
      </w:r>
      <w:bookmarkEnd w:id="247"/>
      <w:r w:rsidRPr="005D10C1">
        <w:rPr>
          <w:rFonts w:ascii="Candara" w:hAnsi="Candara"/>
          <w:color w:val="auto"/>
        </w:rPr>
        <w:t xml:space="preserve"> </w:t>
      </w:r>
      <w:bookmarkEnd w:id="248"/>
      <w:bookmarkEnd w:id="249"/>
    </w:p>
    <w:p w14:paraId="261AB636" w14:textId="77777777" w:rsidR="002A728C" w:rsidRPr="005D10C1" w:rsidRDefault="002A728C" w:rsidP="006B0B4F">
      <w:pPr>
        <w:spacing w:line="360" w:lineRule="auto"/>
        <w:rPr>
          <w:rFonts w:ascii="Candara" w:hAnsi="Candara"/>
          <w:b/>
          <w:i/>
        </w:rPr>
      </w:pPr>
    </w:p>
    <w:p w14:paraId="69CCF9BA" w14:textId="77777777" w:rsidR="000D505B" w:rsidRPr="005D10C1" w:rsidRDefault="000D505B" w:rsidP="006B0B4F">
      <w:pPr>
        <w:spacing w:line="360" w:lineRule="auto"/>
        <w:rPr>
          <w:rFonts w:ascii="Candara" w:hAnsi="Candara"/>
          <w:b/>
          <w:i/>
        </w:rPr>
      </w:pPr>
      <w:r w:rsidRPr="005D10C1">
        <w:rPr>
          <w:rFonts w:ascii="Candara" w:hAnsi="Candara"/>
          <w:b/>
          <w:i/>
        </w:rPr>
        <w:t>Mecanismos de apoyo</w:t>
      </w:r>
    </w:p>
    <w:p w14:paraId="779532AD" w14:textId="77777777" w:rsidR="000D505B" w:rsidRPr="005D10C1" w:rsidRDefault="000D505B" w:rsidP="006B0B4F">
      <w:pPr>
        <w:spacing w:line="360" w:lineRule="auto"/>
        <w:rPr>
          <w:rFonts w:ascii="Candara" w:hAnsi="Candara"/>
          <w:i/>
        </w:rPr>
      </w:pPr>
    </w:p>
    <w:p w14:paraId="31C61C72" w14:textId="77777777" w:rsidR="009D180D" w:rsidRPr="005D10C1" w:rsidRDefault="00B8385F" w:rsidP="009D180D">
      <w:pPr>
        <w:spacing w:line="360" w:lineRule="auto"/>
        <w:rPr>
          <w:rFonts w:ascii="Candara" w:hAnsi="Candara"/>
          <w:i/>
        </w:rPr>
      </w:pPr>
      <w:r w:rsidRPr="005D10C1">
        <w:rPr>
          <w:rFonts w:ascii="Candara" w:hAnsi="Candara"/>
        </w:rPr>
        <w:t xml:space="preserve">A pesar de los esfuerzos en política que se han realizado, </w:t>
      </w:r>
      <w:r w:rsidR="009D180D" w:rsidRPr="005D10C1">
        <w:rPr>
          <w:rFonts w:ascii="Candara" w:hAnsi="Candara"/>
        </w:rPr>
        <w:t xml:space="preserve">no existen </w:t>
      </w:r>
      <w:r w:rsidRPr="005D10C1">
        <w:rPr>
          <w:rFonts w:ascii="Candara" w:hAnsi="Candara"/>
        </w:rPr>
        <w:t xml:space="preserve">en el caso brasilero </w:t>
      </w:r>
      <w:r w:rsidR="009D180D" w:rsidRPr="005D10C1">
        <w:rPr>
          <w:rFonts w:ascii="Candara" w:hAnsi="Candara"/>
        </w:rPr>
        <w:t>regulaciones específicas para ap</w:t>
      </w:r>
      <w:r w:rsidRPr="005D10C1">
        <w:rPr>
          <w:rFonts w:ascii="Candara" w:hAnsi="Candara"/>
        </w:rPr>
        <w:t>oyar la creación de</w:t>
      </w:r>
      <w:r w:rsidR="006B7C26" w:rsidRPr="005D10C1">
        <w:rPr>
          <w:rFonts w:ascii="Candara" w:hAnsi="Candara"/>
        </w:rPr>
        <w:t xml:space="preserve"> empresas </w:t>
      </w:r>
      <w:r w:rsidR="009D180D" w:rsidRPr="005D10C1">
        <w:rPr>
          <w:rFonts w:ascii="Candara" w:hAnsi="Candara"/>
          <w:i/>
        </w:rPr>
        <w:t xml:space="preserve">spin-off </w:t>
      </w:r>
      <w:r w:rsidR="003B0D24" w:rsidRPr="005D10C1">
        <w:rPr>
          <w:rFonts w:ascii="Candara" w:hAnsi="Candara"/>
        </w:rPr>
        <w:fldChar w:fldCharType="begin" w:fldLock="1"/>
      </w:r>
      <w:r w:rsidR="00CA1A09" w:rsidRPr="005D10C1">
        <w:rPr>
          <w:rFonts w:ascii="Candara" w:hAnsi="Candara"/>
        </w:rPr>
        <w:instrText>ADDIN CSL_CITATION { "citationItems" : [ { "id" : "ITEM-1", "itemData" : { "author" : [ { "dropping-particle" : "", "family" : "Carvalho", "given" : "Pedro", "non-dropping-particle" : "", "parse-names" : false, "suffix" : "" } ], "id" : "ITEM-1", "issued" : { "date-parts" : [ [ "2013" ] ] }, "title" : "Politica PI y estrat\u00e9gias el processo de emprendedorismo, creaci\u00f3n e incubac\u00edon de la Spin-off", "type" : "article" }, "uris" : [ "http://www.mendeley.com/documents/?uuid=263cf6e8-e5d4-4bff-8b64-3fa5c78825a5" ] } ], "mendeley" : { "previouslyFormattedCitation" : "(Carvalho, 2013)" }, "properties" : { "noteIndex" : 0 }, "schema" : "https://github.com/citation-style-language/schema/raw/master/csl-citation.json" }</w:instrText>
      </w:r>
      <w:r w:rsidR="003B0D24" w:rsidRPr="005D10C1">
        <w:rPr>
          <w:rFonts w:ascii="Candara" w:hAnsi="Candara"/>
        </w:rPr>
        <w:fldChar w:fldCharType="separate"/>
      </w:r>
      <w:r w:rsidR="009D180D" w:rsidRPr="005D10C1">
        <w:rPr>
          <w:rFonts w:ascii="Candara" w:hAnsi="Candara"/>
          <w:noProof/>
        </w:rPr>
        <w:t>(Carvalho, 2013)</w:t>
      </w:r>
      <w:r w:rsidR="003B0D24" w:rsidRPr="005D10C1">
        <w:rPr>
          <w:rFonts w:ascii="Candara" w:hAnsi="Candara"/>
        </w:rPr>
        <w:fldChar w:fldCharType="end"/>
      </w:r>
      <w:r w:rsidR="009D180D" w:rsidRPr="005D10C1">
        <w:rPr>
          <w:rFonts w:ascii="Candara" w:hAnsi="Candara"/>
          <w:i/>
        </w:rPr>
        <w:t>.</w:t>
      </w:r>
    </w:p>
    <w:p w14:paraId="183E1629" w14:textId="77777777" w:rsidR="009D180D" w:rsidRPr="005D10C1" w:rsidRDefault="009D180D" w:rsidP="006B0B4F">
      <w:pPr>
        <w:spacing w:line="360" w:lineRule="auto"/>
        <w:rPr>
          <w:rFonts w:ascii="Candara" w:hAnsi="Candara"/>
        </w:rPr>
      </w:pPr>
    </w:p>
    <w:p w14:paraId="20E4E715" w14:textId="77777777" w:rsidR="00D76722" w:rsidRPr="005D10C1" w:rsidRDefault="000D505B" w:rsidP="00D76722">
      <w:pPr>
        <w:spacing w:line="360" w:lineRule="auto"/>
        <w:rPr>
          <w:rFonts w:ascii="Candara" w:hAnsi="Candara"/>
        </w:rPr>
      </w:pPr>
      <w:r w:rsidRPr="005D10C1">
        <w:rPr>
          <w:rFonts w:ascii="Candara" w:hAnsi="Candara"/>
        </w:rPr>
        <w:lastRenderedPageBreak/>
        <w:t xml:space="preserve">Una vez que los investigadores deciden crear una empresa para utilizar la invención, es necesario encontrar capital, infraestructura y personal para hacerlo. En Brasil se cuenta con </w:t>
      </w:r>
      <w:r w:rsidR="00624B29" w:rsidRPr="005D10C1">
        <w:rPr>
          <w:rFonts w:ascii="Candara" w:hAnsi="Candara"/>
        </w:rPr>
        <w:t xml:space="preserve">algunas </w:t>
      </w:r>
      <w:r w:rsidRPr="005D10C1">
        <w:rPr>
          <w:rFonts w:ascii="Candara" w:hAnsi="Candara"/>
        </w:rPr>
        <w:t xml:space="preserve">posibilidades. </w:t>
      </w:r>
      <w:r w:rsidR="00624B29" w:rsidRPr="005D10C1">
        <w:rPr>
          <w:rFonts w:ascii="Candara" w:hAnsi="Candara"/>
        </w:rPr>
        <w:t xml:space="preserve">Dentro </w:t>
      </w:r>
      <w:r w:rsidRPr="005D10C1">
        <w:rPr>
          <w:rFonts w:ascii="Candara" w:hAnsi="Candara"/>
        </w:rPr>
        <w:t xml:space="preserve">de estas alternativas </w:t>
      </w:r>
      <w:r w:rsidR="00D76722" w:rsidRPr="005D10C1">
        <w:rPr>
          <w:rFonts w:ascii="Candara" w:hAnsi="Candara"/>
        </w:rPr>
        <w:t xml:space="preserve">se encuentran </w:t>
      </w:r>
      <w:r w:rsidRPr="005D10C1">
        <w:rPr>
          <w:rFonts w:ascii="Candara" w:hAnsi="Candara"/>
        </w:rPr>
        <w:t xml:space="preserve">el </w:t>
      </w:r>
      <w:r w:rsidR="00D76722" w:rsidRPr="005D10C1">
        <w:rPr>
          <w:rFonts w:ascii="Candara" w:hAnsi="Candara"/>
        </w:rPr>
        <w:t xml:space="preserve">proyecto SEBRAETEC, que proporciona capital para el montaje de prototipos y plantas piloto; el </w:t>
      </w:r>
      <w:r w:rsidR="00D76722" w:rsidRPr="005D10C1">
        <w:rPr>
          <w:rFonts w:ascii="Candara" w:hAnsi="Candara"/>
          <w:i/>
        </w:rPr>
        <w:t>O Fundo Innovar Semente</w:t>
      </w:r>
      <w:r w:rsidR="00D76722" w:rsidRPr="005D10C1">
        <w:rPr>
          <w:rFonts w:ascii="Candara" w:hAnsi="Candara"/>
        </w:rPr>
        <w:t xml:space="preserve">-Fondo Semilla de Innovación-, creado por empresa pública </w:t>
      </w:r>
      <w:r w:rsidR="00D76722" w:rsidRPr="005D10C1">
        <w:rPr>
          <w:rFonts w:ascii="Candara" w:hAnsi="Candara"/>
          <w:i/>
        </w:rPr>
        <w:t>Financiadora de Estudos e Projeto</w:t>
      </w:r>
      <w:r w:rsidR="00D76722" w:rsidRPr="005D10C1">
        <w:rPr>
          <w:rFonts w:ascii="Candara" w:hAnsi="Candara"/>
        </w:rPr>
        <w:t xml:space="preserve">s (FINEP) -Financiadora de Estudios y Proyectos- y </w:t>
      </w:r>
      <w:r w:rsidR="00D76722" w:rsidRPr="005D10C1">
        <w:rPr>
          <w:rFonts w:ascii="Candara" w:hAnsi="Candara"/>
          <w:i/>
        </w:rPr>
        <w:t>Bolsas Do Tipo DTI</w:t>
      </w:r>
      <w:r w:rsidR="00D76722" w:rsidRPr="005D10C1">
        <w:rPr>
          <w:rFonts w:ascii="Candara" w:hAnsi="Candara"/>
        </w:rPr>
        <w:t xml:space="preserve"> (Desarrollo Tecnológico Industrial)</w:t>
      </w:r>
      <w:r w:rsidR="003B0D24" w:rsidRPr="005D10C1">
        <w:rPr>
          <w:rFonts w:ascii="Candara" w:hAnsi="Candara"/>
        </w:rPr>
        <w:fldChar w:fldCharType="begin" w:fldLock="1"/>
      </w:r>
      <w:r w:rsidR="00D76722" w:rsidRPr="005D10C1">
        <w:rPr>
          <w:rFonts w:ascii="Candara" w:hAnsi="Candara"/>
        </w:rPr>
        <w:instrText>ADDIN CSL_CITATION { "citationItems" : [ { "id" : "ITEM-1", "itemData" : { "author" : [ { "dropping-particle" : "", "family" : "Ara\u00fajo", "given" : "Maria H", "non-dropping-particle" : "", "parse-names" : false, "suffix" : "" }, { "dropping-particle" : "", "family" : "Oliveira", "given" : "Luiz C A", "non-dropping-particle" : "", "parse-names" : false, "suffix" : "" }, { "dropping-particle" : "", "family" : "Cabral", "given" : "Paulo R M", "non-dropping-particle" : "", "parse-names" : false, "suffix" : "" }, { "dropping-particle" : "", "family" : "Cheng", "given" : "Lin Chih", "non-dropping-particle" : "", "parse-names" : false, "suffix" : "" }, { "dropping-particle" : "", "family" : "Borges", "given" : "Candido", "non-dropping-particle" : "", "parse-names" : false, "suffix" : "" }, { "dropping-particle" : "", "family" : "Filion", "given" : "Louis", "non-dropping-particle" : "", "parse-names" : false, "suffix" : "" } ], "container-title" : "Quim Nova", "id" : "ITEM-1", "issued" : { "date-parts" : [ [ "2005" ] ] }, "page" : "26-35", "title" : "SPIN-OFF\u201d ACAD\u00caMICO: CRIANDO RIQUEZAS A PARTIR DE CONHECIMENTO E PESQUISA", "type" : "article-journal", "volume" : "28" }, "uris" : [ "http://www.mendeley.com/documents/?uuid=953feae1-92df-475d-a0cf-90988066db59" ] } ], "mendeley" : { "previouslyFormattedCitation" : "(Ara\u00fajo et al., 2005)" }, "properties" : { "noteIndex" : 0 }, "schema" : "https://github.com/citation-style-language/schema/raw/master/csl-citation.json" }</w:instrText>
      </w:r>
      <w:r w:rsidR="003B0D24" w:rsidRPr="005D10C1">
        <w:rPr>
          <w:rFonts w:ascii="Candara" w:hAnsi="Candara"/>
        </w:rPr>
        <w:fldChar w:fldCharType="separate"/>
      </w:r>
      <w:r w:rsidR="00D76722" w:rsidRPr="005D10C1">
        <w:rPr>
          <w:rFonts w:ascii="Candara" w:hAnsi="Candara"/>
          <w:noProof/>
        </w:rPr>
        <w:t>(Araújo et al., 2005)</w:t>
      </w:r>
      <w:r w:rsidR="003B0D24" w:rsidRPr="005D10C1">
        <w:rPr>
          <w:rFonts w:ascii="Candara" w:hAnsi="Candara"/>
        </w:rPr>
        <w:fldChar w:fldCharType="end"/>
      </w:r>
      <w:r w:rsidR="00D76722" w:rsidRPr="005D10C1">
        <w:rPr>
          <w:rFonts w:ascii="Candara" w:hAnsi="Candara"/>
        </w:rPr>
        <w:t>.</w:t>
      </w:r>
    </w:p>
    <w:p w14:paraId="0881CF59" w14:textId="77777777" w:rsidR="009D180D" w:rsidRPr="005D10C1" w:rsidRDefault="009D180D" w:rsidP="000D505B">
      <w:pPr>
        <w:spacing w:line="360" w:lineRule="auto"/>
        <w:rPr>
          <w:rFonts w:ascii="Candara" w:hAnsi="Candara"/>
        </w:rPr>
      </w:pPr>
    </w:p>
    <w:p w14:paraId="76FC3E14" w14:textId="77777777" w:rsidR="00C815FD" w:rsidRPr="005D10C1" w:rsidRDefault="008B4C7D">
      <w:pPr>
        <w:pStyle w:val="Ttulo2"/>
        <w:rPr>
          <w:rFonts w:ascii="Candara" w:hAnsi="Candara"/>
          <w:color w:val="auto"/>
        </w:rPr>
      </w:pPr>
      <w:bookmarkStart w:id="250" w:name="_Toc365878858"/>
      <w:bookmarkStart w:id="251" w:name="_Toc377653149"/>
      <w:r w:rsidRPr="005D10C1">
        <w:rPr>
          <w:rFonts w:ascii="Candara" w:hAnsi="Candara"/>
          <w:color w:val="auto"/>
        </w:rPr>
        <w:t>Francia</w:t>
      </w:r>
      <w:bookmarkEnd w:id="250"/>
      <w:bookmarkEnd w:id="251"/>
    </w:p>
    <w:p w14:paraId="45E680AC" w14:textId="77777777" w:rsidR="000C3CF8" w:rsidRPr="005D10C1" w:rsidRDefault="000C3CF8" w:rsidP="000C3CF8">
      <w:pPr>
        <w:rPr>
          <w:rFonts w:ascii="Candara" w:hAnsi="Candara"/>
        </w:rPr>
      </w:pPr>
    </w:p>
    <w:p w14:paraId="36E3269E" w14:textId="77777777" w:rsidR="00895B94" w:rsidRPr="005D10C1" w:rsidRDefault="00895B94" w:rsidP="00895B94">
      <w:pPr>
        <w:pStyle w:val="Ttulo3"/>
        <w:rPr>
          <w:rFonts w:ascii="Candara" w:hAnsi="Candara"/>
          <w:color w:val="auto"/>
        </w:rPr>
      </w:pPr>
      <w:bookmarkStart w:id="252" w:name="_Toc377653150"/>
      <w:r w:rsidRPr="005D10C1">
        <w:rPr>
          <w:rFonts w:ascii="Candara" w:hAnsi="Candara"/>
          <w:color w:val="auto"/>
        </w:rPr>
        <w:t>Naturaleza y desarrollo del sistema de innovación</w:t>
      </w:r>
      <w:bookmarkEnd w:id="252"/>
    </w:p>
    <w:p w14:paraId="434D56F6" w14:textId="77777777" w:rsidR="00444FEF" w:rsidRPr="005D10C1" w:rsidRDefault="00444FEF" w:rsidP="006B0B4F">
      <w:pPr>
        <w:spacing w:line="360" w:lineRule="auto"/>
        <w:rPr>
          <w:rFonts w:ascii="Candara" w:hAnsi="Candara"/>
        </w:rPr>
      </w:pPr>
    </w:p>
    <w:p w14:paraId="090DF3DC" w14:textId="77777777" w:rsidR="005F00AC" w:rsidRPr="005D10C1" w:rsidRDefault="005F00AC" w:rsidP="007A5001">
      <w:pPr>
        <w:spacing w:line="360" w:lineRule="auto"/>
        <w:rPr>
          <w:rFonts w:ascii="Candara" w:hAnsi="Candara"/>
        </w:rPr>
      </w:pPr>
      <w:r w:rsidRPr="005D10C1">
        <w:rPr>
          <w:rFonts w:ascii="Candara" w:hAnsi="Candara"/>
        </w:rPr>
        <w:t>El sistema de innovación de Francia se caracteriza por su centralización en torno a la acción de los organismos públicos, lo anterior queda reflejado a nivel institucional y legislativo.</w:t>
      </w:r>
    </w:p>
    <w:p w14:paraId="77510640" w14:textId="77777777" w:rsidR="00EF48BE" w:rsidRPr="005D10C1" w:rsidRDefault="00EF48BE" w:rsidP="007A5001">
      <w:pPr>
        <w:spacing w:line="360" w:lineRule="auto"/>
        <w:rPr>
          <w:rFonts w:ascii="Candara" w:hAnsi="Candara"/>
        </w:rPr>
      </w:pPr>
    </w:p>
    <w:p w14:paraId="7A69C274" w14:textId="77777777" w:rsidR="00496C55" w:rsidRPr="005D10C1" w:rsidRDefault="00F03153" w:rsidP="007A5001">
      <w:pPr>
        <w:spacing w:line="360" w:lineRule="auto"/>
        <w:rPr>
          <w:rFonts w:ascii="Candara" w:hAnsi="Candara"/>
        </w:rPr>
      </w:pPr>
      <w:r w:rsidRPr="005D10C1">
        <w:rPr>
          <w:rFonts w:ascii="Candara" w:hAnsi="Candara"/>
        </w:rPr>
        <w:t>La polí</w:t>
      </w:r>
      <w:r w:rsidR="00D76722" w:rsidRPr="005D10C1">
        <w:rPr>
          <w:rFonts w:ascii="Candara" w:hAnsi="Candara"/>
        </w:rPr>
        <w:t xml:space="preserve">tica de I+D es responsabilidad </w:t>
      </w:r>
      <w:r w:rsidRPr="005D10C1">
        <w:rPr>
          <w:rFonts w:ascii="Candara" w:hAnsi="Candara"/>
        </w:rPr>
        <w:t>a</w:t>
      </w:r>
      <w:r w:rsidR="00496C55" w:rsidRPr="005D10C1">
        <w:rPr>
          <w:rFonts w:ascii="Candara" w:hAnsi="Candara"/>
        </w:rPr>
        <w:t xml:space="preserve"> nivel institucional</w:t>
      </w:r>
      <w:r w:rsidR="001B7417" w:rsidRPr="005D10C1">
        <w:rPr>
          <w:rFonts w:ascii="Candara" w:hAnsi="Candara"/>
        </w:rPr>
        <w:t xml:space="preserve"> </w:t>
      </w:r>
      <w:r w:rsidRPr="005D10C1">
        <w:rPr>
          <w:rFonts w:ascii="Candara" w:hAnsi="Candara"/>
        </w:rPr>
        <w:t>d</w:t>
      </w:r>
      <w:r w:rsidR="00496C55" w:rsidRPr="005D10C1">
        <w:rPr>
          <w:rFonts w:ascii="Candara" w:hAnsi="Candara"/>
        </w:rPr>
        <w:t>el</w:t>
      </w:r>
      <w:r w:rsidR="00496C55" w:rsidRPr="005D10C1">
        <w:rPr>
          <w:rFonts w:ascii="Candara" w:hAnsi="Candara"/>
          <w:i/>
        </w:rPr>
        <w:t xml:space="preserve"> </w:t>
      </w:r>
      <w:r w:rsidR="007C2DBA" w:rsidRPr="005D10C1">
        <w:rPr>
          <w:rFonts w:ascii="Candara" w:hAnsi="Candara"/>
          <w:i/>
        </w:rPr>
        <w:t>Ministère De L'enseignement Supérieur Et De La Recherche</w:t>
      </w:r>
      <w:r w:rsidR="001B7417" w:rsidRPr="005D10C1">
        <w:rPr>
          <w:rFonts w:ascii="Candara" w:hAnsi="Candara"/>
          <w:i/>
        </w:rPr>
        <w:t xml:space="preserve"> </w:t>
      </w:r>
      <w:r w:rsidR="007C2DBA" w:rsidRPr="005D10C1">
        <w:rPr>
          <w:rFonts w:ascii="Candara" w:hAnsi="Candara"/>
          <w:i/>
        </w:rPr>
        <w:t>-</w:t>
      </w:r>
      <w:r w:rsidR="0000020A" w:rsidRPr="005D10C1">
        <w:rPr>
          <w:rFonts w:ascii="Candara" w:hAnsi="Candara"/>
        </w:rPr>
        <w:t>Ministerio de Enseñanza Superior e Investigación</w:t>
      </w:r>
      <w:r w:rsidR="007C2DBA" w:rsidRPr="005D10C1">
        <w:rPr>
          <w:rFonts w:ascii="Candara" w:hAnsi="Candara"/>
        </w:rPr>
        <w:t>-</w:t>
      </w:r>
      <w:r w:rsidR="001B7417" w:rsidRPr="005D10C1">
        <w:rPr>
          <w:rFonts w:ascii="Candara" w:hAnsi="Candara"/>
        </w:rPr>
        <w:t xml:space="preserve">, </w:t>
      </w:r>
      <w:r w:rsidR="007C2DBA" w:rsidRPr="005D10C1">
        <w:rPr>
          <w:rFonts w:ascii="Candara" w:hAnsi="Candara"/>
        </w:rPr>
        <w:t xml:space="preserve">el cual </w:t>
      </w:r>
      <w:r w:rsidRPr="005D10C1">
        <w:rPr>
          <w:rFonts w:ascii="Candara" w:hAnsi="Candara"/>
        </w:rPr>
        <w:t>se apoya</w:t>
      </w:r>
      <w:r w:rsidR="001B7417" w:rsidRPr="005D10C1">
        <w:rPr>
          <w:rFonts w:ascii="Candara" w:hAnsi="Candara"/>
        </w:rPr>
        <w:t xml:space="preserve"> en el </w:t>
      </w:r>
      <w:r w:rsidR="00931921" w:rsidRPr="005D10C1">
        <w:rPr>
          <w:rFonts w:ascii="Candara" w:hAnsi="Candara"/>
          <w:i/>
        </w:rPr>
        <w:t>Haut Conseil De La Science Et De La Technologie</w:t>
      </w:r>
      <w:r w:rsidR="002C456D" w:rsidRPr="005D10C1">
        <w:rPr>
          <w:rFonts w:ascii="Candara" w:hAnsi="Candara"/>
          <w:i/>
        </w:rPr>
        <w:t xml:space="preserve"> </w:t>
      </w:r>
      <w:r w:rsidR="002C456D" w:rsidRPr="005D10C1">
        <w:rPr>
          <w:rFonts w:ascii="Candara" w:hAnsi="Candara"/>
        </w:rPr>
        <w:t>-</w:t>
      </w:r>
      <w:r w:rsidR="00466893" w:rsidRPr="005D10C1">
        <w:rPr>
          <w:rFonts w:ascii="Candara" w:hAnsi="Candara"/>
        </w:rPr>
        <w:t>Alto C</w:t>
      </w:r>
      <w:r w:rsidRPr="005D10C1">
        <w:rPr>
          <w:rFonts w:ascii="Candara" w:hAnsi="Candara"/>
        </w:rPr>
        <w:t>onsejo</w:t>
      </w:r>
      <w:r w:rsidR="00466893" w:rsidRPr="005D10C1">
        <w:rPr>
          <w:rFonts w:ascii="Candara" w:hAnsi="Candara"/>
        </w:rPr>
        <w:t xml:space="preserve"> de C</w:t>
      </w:r>
      <w:r w:rsidR="00496C55" w:rsidRPr="005D10C1">
        <w:rPr>
          <w:rFonts w:ascii="Candara" w:hAnsi="Candara"/>
        </w:rPr>
        <w:t>iencia y</w:t>
      </w:r>
      <w:r w:rsidR="00466893" w:rsidRPr="005D10C1">
        <w:rPr>
          <w:rFonts w:ascii="Candara" w:hAnsi="Candara"/>
        </w:rPr>
        <w:t xml:space="preserve"> T</w:t>
      </w:r>
      <w:r w:rsidRPr="005D10C1">
        <w:rPr>
          <w:rFonts w:ascii="Candara" w:hAnsi="Candara"/>
        </w:rPr>
        <w:t>ecnología</w:t>
      </w:r>
      <w:r w:rsidR="00B13C2E" w:rsidRPr="005D10C1">
        <w:rPr>
          <w:rFonts w:ascii="Candara" w:hAnsi="Candara"/>
        </w:rPr>
        <w:t>-</w:t>
      </w:r>
      <w:r w:rsidRPr="005D10C1">
        <w:rPr>
          <w:rFonts w:ascii="Candara" w:hAnsi="Candara"/>
        </w:rPr>
        <w:t xml:space="preserve"> y</w:t>
      </w:r>
      <w:r w:rsidR="002C456D" w:rsidRPr="005D10C1">
        <w:rPr>
          <w:rFonts w:ascii="Candara" w:hAnsi="Candara"/>
        </w:rPr>
        <w:t xml:space="preserve"> el </w:t>
      </w:r>
      <w:r w:rsidRPr="005D10C1">
        <w:rPr>
          <w:rFonts w:ascii="Candara" w:hAnsi="Candara"/>
        </w:rPr>
        <w:t xml:space="preserve"> </w:t>
      </w:r>
      <w:r w:rsidR="00931921" w:rsidRPr="005D10C1">
        <w:rPr>
          <w:rFonts w:ascii="Candara" w:hAnsi="Candara"/>
          <w:i/>
        </w:rPr>
        <w:t>Conseil Supérieur De La Recherche Et De La Technologie</w:t>
      </w:r>
      <w:r w:rsidR="002C456D" w:rsidRPr="005D10C1">
        <w:rPr>
          <w:rFonts w:ascii="Candara" w:hAnsi="Candara"/>
          <w:i/>
        </w:rPr>
        <w:t xml:space="preserve"> </w:t>
      </w:r>
      <w:r w:rsidR="002C456D" w:rsidRPr="005D10C1">
        <w:rPr>
          <w:rFonts w:ascii="Candara" w:hAnsi="Candara"/>
        </w:rPr>
        <w:t>-</w:t>
      </w:r>
      <w:r w:rsidR="00466893" w:rsidRPr="005D10C1">
        <w:rPr>
          <w:rFonts w:ascii="Candara" w:hAnsi="Candara"/>
        </w:rPr>
        <w:t>Consejo Superior de Investigación y T</w:t>
      </w:r>
      <w:r w:rsidR="00496C55" w:rsidRPr="005D10C1">
        <w:rPr>
          <w:rFonts w:ascii="Candara" w:hAnsi="Candara"/>
        </w:rPr>
        <w:t>ecnología</w:t>
      </w:r>
      <w:r w:rsidR="001D133D" w:rsidRPr="005D10C1">
        <w:rPr>
          <w:rFonts w:ascii="Candara" w:hAnsi="Candara"/>
        </w:rPr>
        <w:t>-</w:t>
      </w:r>
      <w:r w:rsidR="00260ABC" w:rsidRPr="005D10C1">
        <w:rPr>
          <w:rFonts w:ascii="Candara" w:hAnsi="Candara"/>
        </w:rPr>
        <w:t xml:space="preserve">. Este </w:t>
      </w:r>
      <w:r w:rsidR="002C456D" w:rsidRPr="005D10C1">
        <w:rPr>
          <w:rFonts w:ascii="Candara" w:hAnsi="Candara"/>
        </w:rPr>
        <w:t>M</w:t>
      </w:r>
      <w:r w:rsidR="00260ABC" w:rsidRPr="005D10C1">
        <w:rPr>
          <w:rFonts w:ascii="Candara" w:hAnsi="Candara"/>
        </w:rPr>
        <w:t xml:space="preserve">inisterio </w:t>
      </w:r>
      <w:r w:rsidR="002774AB" w:rsidRPr="005D10C1">
        <w:rPr>
          <w:rFonts w:ascii="Candara" w:hAnsi="Candara"/>
        </w:rPr>
        <w:t>diseña, desarrolla e implementa la investigación y la innovación de las políticas nacionales</w:t>
      </w:r>
      <w:r w:rsidR="001D374A" w:rsidRPr="005D10C1">
        <w:rPr>
          <w:rFonts w:ascii="Candara" w:hAnsi="Candara"/>
        </w:rPr>
        <w:t>;</w:t>
      </w:r>
      <w:r w:rsidR="00260ABC" w:rsidRPr="005D10C1">
        <w:rPr>
          <w:rFonts w:ascii="Candara" w:hAnsi="Candara"/>
        </w:rPr>
        <w:t xml:space="preserve"> </w:t>
      </w:r>
      <w:r w:rsidR="00D76722" w:rsidRPr="005D10C1">
        <w:rPr>
          <w:rFonts w:ascii="Candara" w:hAnsi="Candara"/>
        </w:rPr>
        <w:t xml:space="preserve">además </w:t>
      </w:r>
      <w:r w:rsidR="001D374A" w:rsidRPr="005D10C1">
        <w:rPr>
          <w:rFonts w:ascii="Candara" w:hAnsi="Candara"/>
        </w:rPr>
        <w:t>e</w:t>
      </w:r>
      <w:r w:rsidR="00260ABC" w:rsidRPr="005D10C1">
        <w:rPr>
          <w:rFonts w:ascii="Candara" w:hAnsi="Candara"/>
        </w:rPr>
        <w:t>stablece las directrices y asigna recursos</w:t>
      </w:r>
      <w:r w:rsidR="001D374A" w:rsidRPr="005D10C1">
        <w:rPr>
          <w:rFonts w:ascii="Candara" w:hAnsi="Candara"/>
        </w:rPr>
        <w:t>;</w:t>
      </w:r>
      <w:r w:rsidR="00260ABC" w:rsidRPr="005D10C1">
        <w:rPr>
          <w:rFonts w:ascii="Candara" w:hAnsi="Candara"/>
        </w:rPr>
        <w:t xml:space="preserve"> </w:t>
      </w:r>
      <w:r w:rsidR="00D76722" w:rsidRPr="005D10C1">
        <w:rPr>
          <w:rFonts w:ascii="Candara" w:hAnsi="Candara"/>
        </w:rPr>
        <w:t xml:space="preserve">permite </w:t>
      </w:r>
      <w:r w:rsidR="00260ABC" w:rsidRPr="005D10C1">
        <w:rPr>
          <w:rFonts w:ascii="Candara" w:hAnsi="Candara"/>
        </w:rPr>
        <w:t>aplica</w:t>
      </w:r>
      <w:r w:rsidR="00D76722" w:rsidRPr="005D10C1">
        <w:rPr>
          <w:rFonts w:ascii="Candara" w:hAnsi="Candara"/>
        </w:rPr>
        <w:t>r</w:t>
      </w:r>
      <w:r w:rsidR="00260ABC" w:rsidRPr="005D10C1">
        <w:rPr>
          <w:rFonts w:ascii="Candara" w:hAnsi="Candara"/>
        </w:rPr>
        <w:t xml:space="preserve"> procedimientos de evaluación confiables, que puedan dar cuenta de resultados y la eficacia de la investigación y la innovación nacional. Además supervisa las organizaciones de investigación e instituciones de educación superior</w:t>
      </w:r>
      <w:r w:rsidR="00B333CE" w:rsidRPr="005D10C1">
        <w:rPr>
          <w:rFonts w:ascii="Candara" w:hAnsi="Candara"/>
        </w:rPr>
        <w:t xml:space="preserve"> </w:t>
      </w:r>
      <w:r w:rsidR="003B0D24" w:rsidRPr="005D10C1">
        <w:rPr>
          <w:rFonts w:ascii="Candara" w:hAnsi="Candara"/>
        </w:rPr>
        <w:fldChar w:fldCharType="begin" w:fldLock="1"/>
      </w:r>
      <w:r w:rsidR="00CA1A09" w:rsidRPr="005D10C1">
        <w:rPr>
          <w:rFonts w:ascii="Candara" w:hAnsi="Candara"/>
        </w:rPr>
        <w:instrText>ADDIN CSL_CITATION { "citationItems" : [ { "id" : "ITEM-1", "itemData" : { "URL" : "http://www.enseignementsup-recherche.gouv.fr/cid56384/qui-oriente-et-definit-la-politique-de-recherche.html", "abstract" : "Le minist&amp;egrave;re de l'Enseignement sup&amp;eacute;rieur et de la Recherche (M.E.S.R.) con&amp;ccedil;oit, &amp;eacute;labore et met en \u0153uvre la politique nationale de recherche et d'innovation. Il d&amp;eacute;finit les grandes orientations et r&amp;eacute;partit les ressources sur des objectifs g&amp;eacute;n&amp;eacute;raux. Il met en \u0153uvre, en relation avec les partenaires concern&amp;eacute;s, des proc&amp;eacute;dures d'&amp;eacute;valuation fiables, de nature &amp;agrave; rendre compte des performances et de l'efficacit&amp;eacute; du dispositif national de recherche et d'innovation. Il assure la tutelle des organismes de recherche et des &amp;eacute;tablissements d'enseignement sup&amp;eacute;rieur.", "accessed" : { "date-parts" : [ [ "2013", "9", "26" ] ] }, "id" : "ITEM-1", "issued" : { "date-parts" : [ [ "2011" ] ] }, "title" : "Qui oriente et d\u00e9finit la politique de recherche?", "type" : "webpage" }, "uris" : [ "http://www.mendeley.com/documents/?uuid=cf95f5ad-c598-4ea1-b628-5133f119a6c4" ] } ], "mendeley" : { "previouslyFormattedCitation" : "(\u201cQui oriente et d\u00e9finit la politique de recherche?,\u201d 2011)" }, "properties" : { "noteIndex" : 0 }, "schema" : "https://github.com/citation-style-language/schema/raw/master/csl-citation.json" }</w:instrText>
      </w:r>
      <w:r w:rsidR="003B0D24" w:rsidRPr="005D10C1">
        <w:rPr>
          <w:rFonts w:ascii="Candara" w:hAnsi="Candara"/>
        </w:rPr>
        <w:fldChar w:fldCharType="separate"/>
      </w:r>
      <w:r w:rsidR="00B333CE" w:rsidRPr="005D10C1">
        <w:rPr>
          <w:rFonts w:ascii="Candara" w:hAnsi="Candara"/>
          <w:noProof/>
        </w:rPr>
        <w:t>(“Qui oriente et définit la politique de recherche?,” 2011)</w:t>
      </w:r>
      <w:r w:rsidR="003B0D24" w:rsidRPr="005D10C1">
        <w:rPr>
          <w:rFonts w:ascii="Candara" w:hAnsi="Candara"/>
        </w:rPr>
        <w:fldChar w:fldCharType="end"/>
      </w:r>
    </w:p>
    <w:p w14:paraId="4655CA0F" w14:textId="77777777" w:rsidR="000A3E84" w:rsidRPr="005D10C1" w:rsidRDefault="000A3E84" w:rsidP="007A5001">
      <w:pPr>
        <w:spacing w:line="360" w:lineRule="auto"/>
        <w:rPr>
          <w:rFonts w:ascii="Candara" w:hAnsi="Candara"/>
        </w:rPr>
      </w:pPr>
    </w:p>
    <w:p w14:paraId="64358D45" w14:textId="77777777" w:rsidR="00DC3716" w:rsidRPr="005D10C1" w:rsidRDefault="001B7528" w:rsidP="007A5001">
      <w:pPr>
        <w:spacing w:line="360" w:lineRule="auto"/>
        <w:rPr>
          <w:rFonts w:ascii="Candara" w:hAnsi="Candara"/>
          <w:b/>
        </w:rPr>
      </w:pPr>
      <w:r w:rsidRPr="005D10C1">
        <w:rPr>
          <w:rFonts w:ascii="Candara" w:hAnsi="Candara"/>
        </w:rPr>
        <w:lastRenderedPageBreak/>
        <w:t>El sistema de innovación e investigación posee 4 funciones: orientación, programación, investigación y evaluación</w:t>
      </w:r>
      <w:r w:rsidR="002774AB" w:rsidRPr="005D10C1">
        <w:rPr>
          <w:rFonts w:ascii="Candara" w:hAnsi="Candara"/>
        </w:rPr>
        <w:t xml:space="preserve"> </w:t>
      </w:r>
      <w:r w:rsidR="003B0D24" w:rsidRPr="005D10C1">
        <w:rPr>
          <w:rFonts w:ascii="Candara" w:hAnsi="Candara"/>
        </w:rPr>
        <w:fldChar w:fldCharType="begin" w:fldLock="1"/>
      </w:r>
      <w:r w:rsidR="00CA1A09" w:rsidRPr="005D10C1">
        <w:rPr>
          <w:rFonts w:ascii="Candara" w:hAnsi="Candara"/>
        </w:rPr>
        <w:instrText>ADDIN CSL_CITATION { "citationItems" : [ { "id" : "ITEM-1", "itemData" : { "URL" : "http://www.enseignementsup-recherche.gouv.fr/cid56382/organisation-du-systeme-de-recherche-et-d-innovation.html", "abstract" : "La politique fran&amp;ccedil;aise de recherche est conduite par le minist&amp;egrave;re de l'Enseignement sup&amp;eacute;rieur et de la Recherche. Les activit&amp;eacute;s de recherche sont r&amp;eacute;alis&amp;eacute;es soit dans les &amp;eacute;tablissements d'enseignement sup&amp;eacute;rieur ou les organismes de recherche (recherche publique), soit dans les entreprises (recherche priv&amp;eacute;e). Au total, 393 1310 personnes travaillent dans ce secteur dont 232 764 chercheurs.", "accessed" : { "date-parts" : [ [ "2013", "9", "26" ] ] }, "id" : "ITEM-1", "issued" : { "date-parts" : [ [ "2011" ] ] }, "title" : "Organisation du syst\u00e8me de recherche et d'innovation", "type" : "webpage" }, "uris" : [ "http://www.mendeley.com/documents/?uuid=c243ad7d-098e-4738-a83e-fcfea08fe19d" ] } ], "mendeley" : { "previouslyFormattedCitation" : "(\u201cOrganisation du syst\u00e8me de recherche et d\u2019innovation,\u201d 2011)" }, "properties" : { "noteIndex" : 0 }, "schema" : "https://github.com/citation-style-language/schema/raw/master/csl-citation.json" }</w:instrText>
      </w:r>
      <w:r w:rsidR="003B0D24" w:rsidRPr="005D10C1">
        <w:rPr>
          <w:rFonts w:ascii="Candara" w:hAnsi="Candara"/>
        </w:rPr>
        <w:fldChar w:fldCharType="separate"/>
      </w:r>
      <w:r w:rsidR="002774AB" w:rsidRPr="005D10C1">
        <w:rPr>
          <w:rFonts w:ascii="Candara" w:hAnsi="Candara"/>
          <w:noProof/>
        </w:rPr>
        <w:t>(“Organisation du système de recherche et d’innovation,” 2011)</w:t>
      </w:r>
      <w:r w:rsidR="003B0D24" w:rsidRPr="005D10C1">
        <w:rPr>
          <w:rFonts w:ascii="Candara" w:hAnsi="Candara"/>
        </w:rPr>
        <w:fldChar w:fldCharType="end"/>
      </w:r>
      <w:r w:rsidR="005173DA" w:rsidRPr="005D10C1">
        <w:rPr>
          <w:rFonts w:ascii="Candara" w:hAnsi="Candara"/>
        </w:rPr>
        <w:t xml:space="preserve">. La </w:t>
      </w:r>
      <w:r w:rsidR="000A3E84" w:rsidRPr="005D10C1">
        <w:rPr>
          <w:rFonts w:ascii="Candara" w:hAnsi="Candara"/>
          <w:b/>
        </w:rPr>
        <w:t>Orientación</w:t>
      </w:r>
      <w:r w:rsidR="005173DA" w:rsidRPr="005D10C1">
        <w:rPr>
          <w:rFonts w:ascii="Candara" w:hAnsi="Candara"/>
        </w:rPr>
        <w:t xml:space="preserve"> se refiere a la</w:t>
      </w:r>
      <w:r w:rsidR="000A3E84" w:rsidRPr="005D10C1">
        <w:rPr>
          <w:rFonts w:ascii="Candara" w:hAnsi="Candara"/>
        </w:rPr>
        <w:t xml:space="preserve"> definición de la política de investigación, los objetivos generales del presupuesto general y la inve</w:t>
      </w:r>
      <w:r w:rsidR="005173DA" w:rsidRPr="005D10C1">
        <w:rPr>
          <w:rFonts w:ascii="Candara" w:hAnsi="Candara"/>
        </w:rPr>
        <w:t xml:space="preserve">stigación de políticas públicas; la </w:t>
      </w:r>
      <w:r w:rsidR="00DD6235" w:rsidRPr="005D10C1">
        <w:rPr>
          <w:rFonts w:ascii="Candara" w:hAnsi="Candara"/>
          <w:b/>
        </w:rPr>
        <w:t>Programación</w:t>
      </w:r>
      <w:r w:rsidR="005173DA" w:rsidRPr="005D10C1">
        <w:rPr>
          <w:rFonts w:ascii="Candara" w:hAnsi="Candara"/>
        </w:rPr>
        <w:t xml:space="preserve"> incluye la </w:t>
      </w:r>
      <w:r w:rsidR="00B35C2E" w:rsidRPr="005D10C1">
        <w:rPr>
          <w:rFonts w:ascii="Candara" w:hAnsi="Candara"/>
        </w:rPr>
        <w:t>traducción de los macroobjetivos definidos bajo la función de orientación en prioridades científicas y programas de investigación, así como la dotación de recursos para las unidades de investigación</w:t>
      </w:r>
      <w:r w:rsidR="005173DA" w:rsidRPr="005D10C1">
        <w:rPr>
          <w:rFonts w:ascii="Candara" w:hAnsi="Candara"/>
        </w:rPr>
        <w:t xml:space="preserve">; la </w:t>
      </w:r>
      <w:r w:rsidR="00DD6235" w:rsidRPr="005D10C1">
        <w:rPr>
          <w:rFonts w:ascii="Candara" w:hAnsi="Candara"/>
          <w:b/>
        </w:rPr>
        <w:t>investigación</w:t>
      </w:r>
      <w:r w:rsidR="008108DE" w:rsidRPr="005D10C1">
        <w:rPr>
          <w:rFonts w:ascii="Candara" w:hAnsi="Candara"/>
          <w:b/>
        </w:rPr>
        <w:t xml:space="preserve"> e innovación</w:t>
      </w:r>
      <w:r w:rsidR="005173DA" w:rsidRPr="005D10C1">
        <w:rPr>
          <w:rFonts w:ascii="Candara" w:hAnsi="Candara"/>
          <w:b/>
        </w:rPr>
        <w:t xml:space="preserve"> </w:t>
      </w:r>
      <w:r w:rsidR="005173DA" w:rsidRPr="005D10C1">
        <w:rPr>
          <w:rFonts w:ascii="Candara" w:hAnsi="Candara"/>
        </w:rPr>
        <w:t xml:space="preserve"> se refiere a su</w:t>
      </w:r>
      <w:r w:rsidR="00DD6235" w:rsidRPr="005D10C1">
        <w:rPr>
          <w:rFonts w:ascii="Candara" w:hAnsi="Candara"/>
        </w:rPr>
        <w:t xml:space="preserve"> </w:t>
      </w:r>
      <w:r w:rsidR="008108DE" w:rsidRPr="005D10C1">
        <w:rPr>
          <w:rFonts w:ascii="Candara" w:hAnsi="Candara"/>
        </w:rPr>
        <w:t>función de producción, difusión y valorización de conocimientos</w:t>
      </w:r>
      <w:r w:rsidR="005173DA" w:rsidRPr="005D10C1">
        <w:rPr>
          <w:rFonts w:ascii="Candara" w:hAnsi="Candara"/>
        </w:rPr>
        <w:t xml:space="preserve"> y está a cargo de </w:t>
      </w:r>
      <w:r w:rsidR="00DD6235" w:rsidRPr="005D10C1">
        <w:rPr>
          <w:rFonts w:ascii="Candara" w:hAnsi="Candara"/>
        </w:rPr>
        <w:t xml:space="preserve">las </w:t>
      </w:r>
      <w:r w:rsidR="00FB4973" w:rsidRPr="005D10C1">
        <w:rPr>
          <w:rFonts w:ascii="Candara" w:hAnsi="Candara"/>
        </w:rPr>
        <w:t xml:space="preserve">universidades y otros centros de educación superior, de los institutos de </w:t>
      </w:r>
      <w:r w:rsidR="00DD6235" w:rsidRPr="005D10C1">
        <w:rPr>
          <w:rFonts w:ascii="Candara" w:hAnsi="Candara"/>
        </w:rPr>
        <w:t>investigación</w:t>
      </w:r>
      <w:r w:rsidR="00FB4973" w:rsidRPr="005D10C1">
        <w:rPr>
          <w:rFonts w:ascii="Candara" w:hAnsi="Candara"/>
        </w:rPr>
        <w:t xml:space="preserve"> y de las empresas</w:t>
      </w:r>
      <w:r w:rsidR="005173DA" w:rsidRPr="005D10C1">
        <w:rPr>
          <w:rFonts w:ascii="Candara" w:hAnsi="Candara"/>
        </w:rPr>
        <w:t xml:space="preserve">; y la </w:t>
      </w:r>
      <w:r w:rsidR="005173DA" w:rsidRPr="005D10C1">
        <w:rPr>
          <w:rFonts w:ascii="Candara" w:hAnsi="Candara"/>
          <w:b/>
        </w:rPr>
        <w:t>E</w:t>
      </w:r>
      <w:r w:rsidR="00DC3716" w:rsidRPr="005D10C1">
        <w:rPr>
          <w:rFonts w:ascii="Candara" w:hAnsi="Candara"/>
          <w:b/>
        </w:rPr>
        <w:t>valuación</w:t>
      </w:r>
      <w:r w:rsidR="005173DA" w:rsidRPr="005D10C1">
        <w:rPr>
          <w:rFonts w:ascii="Candara" w:hAnsi="Candara"/>
        </w:rPr>
        <w:t xml:space="preserve">, como su nombre lo indica, </w:t>
      </w:r>
      <w:r w:rsidR="00DC3716" w:rsidRPr="005D10C1">
        <w:rPr>
          <w:rFonts w:ascii="Candara" w:hAnsi="Candara"/>
          <w:b/>
        </w:rPr>
        <w:t xml:space="preserve"> </w:t>
      </w:r>
      <w:r w:rsidR="00DC3716" w:rsidRPr="005D10C1">
        <w:rPr>
          <w:rFonts w:ascii="Candara" w:hAnsi="Candara"/>
        </w:rPr>
        <w:t>desarrolla</w:t>
      </w:r>
      <w:r w:rsidR="005173DA" w:rsidRPr="005D10C1">
        <w:rPr>
          <w:rFonts w:ascii="Candara" w:hAnsi="Candara"/>
        </w:rPr>
        <w:t xml:space="preserve"> </w:t>
      </w:r>
      <w:r w:rsidR="00DC3716" w:rsidRPr="005D10C1">
        <w:rPr>
          <w:rFonts w:ascii="Candara" w:hAnsi="Candara"/>
        </w:rPr>
        <w:t>evaluaciones para asegurar calidad de los procedimientos adoptados.</w:t>
      </w:r>
    </w:p>
    <w:p w14:paraId="75797883" w14:textId="77777777" w:rsidR="005F00AC" w:rsidRPr="005D10C1" w:rsidRDefault="005F00AC" w:rsidP="007A5001">
      <w:pPr>
        <w:spacing w:line="360" w:lineRule="auto"/>
        <w:rPr>
          <w:rFonts w:ascii="Candara" w:hAnsi="Candara"/>
        </w:rPr>
      </w:pPr>
    </w:p>
    <w:p w14:paraId="501141BC" w14:textId="77777777" w:rsidR="00EA061E" w:rsidRPr="005D10C1" w:rsidRDefault="007A5001" w:rsidP="00A02920">
      <w:pPr>
        <w:spacing w:line="360" w:lineRule="auto"/>
        <w:rPr>
          <w:rFonts w:ascii="Candara" w:hAnsi="Candara"/>
        </w:rPr>
      </w:pPr>
      <w:r w:rsidRPr="005D10C1">
        <w:rPr>
          <w:rFonts w:ascii="Candara" w:hAnsi="Candara"/>
        </w:rPr>
        <w:t xml:space="preserve">El sector público de </w:t>
      </w:r>
      <w:r w:rsidRPr="005D10C1">
        <w:rPr>
          <w:rFonts w:ascii="Candara" w:hAnsi="Candara"/>
          <w:b/>
        </w:rPr>
        <w:t>investigación</w:t>
      </w:r>
      <w:r w:rsidRPr="005D10C1">
        <w:rPr>
          <w:rFonts w:ascii="Candara" w:hAnsi="Candara"/>
        </w:rPr>
        <w:t xml:space="preserve"> en Francia está constituido por tres tipos principales de organizaciones públicas de investigación (OPI): 90 universidades, 25 institutos públicos de investigación </w:t>
      </w:r>
      <w:r w:rsidR="00D81B93" w:rsidRPr="005D10C1">
        <w:rPr>
          <w:rFonts w:ascii="Candara" w:hAnsi="Candara"/>
        </w:rPr>
        <w:t xml:space="preserve">con vocación multidisciplinar o especializada (como el </w:t>
      </w:r>
      <w:r w:rsidR="00A02920" w:rsidRPr="005D10C1">
        <w:rPr>
          <w:rFonts w:ascii="Candara" w:hAnsi="Candara"/>
          <w:i/>
        </w:rPr>
        <w:t>Centre National de la Recherche Scientifique CNRS -</w:t>
      </w:r>
      <w:r w:rsidR="00D81B93" w:rsidRPr="005D10C1">
        <w:rPr>
          <w:rFonts w:ascii="Candara" w:hAnsi="Candara"/>
        </w:rPr>
        <w:t xml:space="preserve">Centro </w:t>
      </w:r>
      <w:r w:rsidR="0000565E" w:rsidRPr="005D10C1">
        <w:rPr>
          <w:rFonts w:ascii="Candara" w:hAnsi="Candara"/>
        </w:rPr>
        <w:t>Nacional de I</w:t>
      </w:r>
      <w:r w:rsidR="00D81B93" w:rsidRPr="005D10C1">
        <w:rPr>
          <w:rFonts w:ascii="Candara" w:hAnsi="Candara"/>
        </w:rPr>
        <w:t xml:space="preserve">nvestigación </w:t>
      </w:r>
      <w:r w:rsidR="0000565E" w:rsidRPr="005D10C1">
        <w:rPr>
          <w:rFonts w:ascii="Candara" w:hAnsi="Candara"/>
        </w:rPr>
        <w:t>C</w:t>
      </w:r>
      <w:r w:rsidR="00D81B93" w:rsidRPr="005D10C1">
        <w:rPr>
          <w:rFonts w:ascii="Candara" w:hAnsi="Candara"/>
        </w:rPr>
        <w:t>ientífica</w:t>
      </w:r>
      <w:r w:rsidR="00A02920" w:rsidRPr="005D10C1">
        <w:rPr>
          <w:rFonts w:ascii="Candara" w:hAnsi="Candara"/>
        </w:rPr>
        <w:t>-</w:t>
      </w:r>
      <w:r w:rsidR="00D81B93" w:rsidRPr="005D10C1">
        <w:rPr>
          <w:rFonts w:ascii="Candara" w:hAnsi="Candara"/>
        </w:rPr>
        <w:t xml:space="preserve">, </w:t>
      </w:r>
      <w:r w:rsidR="0000565E" w:rsidRPr="005D10C1">
        <w:rPr>
          <w:rFonts w:ascii="Candara" w:hAnsi="Candara"/>
        </w:rPr>
        <w:t xml:space="preserve">el </w:t>
      </w:r>
      <w:r w:rsidR="00A02920" w:rsidRPr="005D10C1">
        <w:rPr>
          <w:rFonts w:ascii="Candara" w:hAnsi="Candara"/>
          <w:i/>
        </w:rPr>
        <w:t>Institut National De La Sante ´ Et De La Recherche Médicale</w:t>
      </w:r>
      <w:r w:rsidR="00A02920" w:rsidRPr="005D10C1">
        <w:rPr>
          <w:rFonts w:ascii="Candara" w:hAnsi="Candara"/>
        </w:rPr>
        <w:t xml:space="preserve"> INSERM -</w:t>
      </w:r>
      <w:r w:rsidR="0000565E" w:rsidRPr="005D10C1">
        <w:rPr>
          <w:rFonts w:ascii="Candara" w:hAnsi="Candara"/>
        </w:rPr>
        <w:t>Instituto N</w:t>
      </w:r>
      <w:r w:rsidR="00D81B93" w:rsidRPr="005D10C1">
        <w:rPr>
          <w:rFonts w:ascii="Candara" w:hAnsi="Candara"/>
        </w:rPr>
        <w:t xml:space="preserve">acional de la </w:t>
      </w:r>
      <w:r w:rsidR="0000565E" w:rsidRPr="005D10C1">
        <w:rPr>
          <w:rFonts w:ascii="Candara" w:hAnsi="Candara"/>
        </w:rPr>
        <w:t>Salud y la Investigación M</w:t>
      </w:r>
      <w:r w:rsidR="00D81B93" w:rsidRPr="005D10C1">
        <w:rPr>
          <w:rFonts w:ascii="Candara" w:hAnsi="Candara"/>
        </w:rPr>
        <w:t>édica-,</w:t>
      </w:r>
      <w:r w:rsidR="0000565E" w:rsidRPr="005D10C1">
        <w:rPr>
          <w:rFonts w:ascii="Candara" w:hAnsi="Candara"/>
        </w:rPr>
        <w:t xml:space="preserve"> el </w:t>
      </w:r>
      <w:r w:rsidR="00D81B93" w:rsidRPr="005D10C1">
        <w:rPr>
          <w:rFonts w:ascii="Candara" w:hAnsi="Candara"/>
        </w:rPr>
        <w:t xml:space="preserve"> </w:t>
      </w:r>
      <w:r w:rsidR="00A02920" w:rsidRPr="005D10C1">
        <w:rPr>
          <w:rFonts w:ascii="Candara" w:hAnsi="Candara"/>
          <w:i/>
        </w:rPr>
        <w:t>Institut national de la recherche agronomique</w:t>
      </w:r>
      <w:r w:rsidR="000C0884" w:rsidRPr="005D10C1">
        <w:rPr>
          <w:rFonts w:ascii="Candara" w:hAnsi="Candara"/>
          <w:i/>
        </w:rPr>
        <w:t xml:space="preserve"> </w:t>
      </w:r>
      <w:r w:rsidR="00A02920" w:rsidRPr="005D10C1">
        <w:rPr>
          <w:rFonts w:ascii="Candara" w:hAnsi="Candara"/>
          <w:i/>
        </w:rPr>
        <w:t>INRA -</w:t>
      </w:r>
      <w:r w:rsidR="00D81B93" w:rsidRPr="005D10C1">
        <w:rPr>
          <w:rFonts w:ascii="Candara" w:hAnsi="Candara"/>
        </w:rPr>
        <w:t xml:space="preserve">Instituto </w:t>
      </w:r>
      <w:r w:rsidR="0000565E" w:rsidRPr="005D10C1">
        <w:rPr>
          <w:rFonts w:ascii="Candara" w:hAnsi="Candara"/>
        </w:rPr>
        <w:t>N</w:t>
      </w:r>
      <w:r w:rsidR="00D81B93" w:rsidRPr="005D10C1">
        <w:rPr>
          <w:rFonts w:ascii="Candara" w:hAnsi="Candara"/>
        </w:rPr>
        <w:t>acio</w:t>
      </w:r>
      <w:r w:rsidR="0000565E" w:rsidRPr="005D10C1">
        <w:rPr>
          <w:rFonts w:ascii="Candara" w:hAnsi="Candara"/>
        </w:rPr>
        <w:t>nal de Investigación A</w:t>
      </w:r>
      <w:r w:rsidR="00A02920" w:rsidRPr="005D10C1">
        <w:rPr>
          <w:rFonts w:ascii="Candara" w:hAnsi="Candara"/>
        </w:rPr>
        <w:t>gronómica</w:t>
      </w:r>
      <w:r w:rsidR="00D81B93" w:rsidRPr="005D10C1">
        <w:rPr>
          <w:rFonts w:ascii="Candara" w:hAnsi="Candara"/>
        </w:rPr>
        <w:t xml:space="preserve">–, </w:t>
      </w:r>
      <w:r w:rsidR="0000565E" w:rsidRPr="005D10C1">
        <w:rPr>
          <w:rFonts w:ascii="Candara" w:hAnsi="Candara"/>
        </w:rPr>
        <w:t xml:space="preserve">el </w:t>
      </w:r>
      <w:r w:rsidR="00A02920" w:rsidRPr="005D10C1">
        <w:rPr>
          <w:rFonts w:ascii="Candara" w:hAnsi="Candara"/>
          <w:i/>
        </w:rPr>
        <w:t>Institut National de la Recherche en Informatique et Automatique</w:t>
      </w:r>
      <w:r w:rsidR="00A02920" w:rsidRPr="005D10C1">
        <w:rPr>
          <w:rFonts w:ascii="Candara" w:hAnsi="Candara"/>
        </w:rPr>
        <w:t xml:space="preserve"> </w:t>
      </w:r>
      <w:r w:rsidR="00A02920" w:rsidRPr="005D10C1">
        <w:rPr>
          <w:rFonts w:ascii="Candara" w:hAnsi="Candara"/>
          <w:i/>
        </w:rPr>
        <w:t>INRIA</w:t>
      </w:r>
      <w:r w:rsidR="00A02920" w:rsidRPr="005D10C1">
        <w:rPr>
          <w:rFonts w:ascii="Candara" w:hAnsi="Candara"/>
        </w:rPr>
        <w:t xml:space="preserve"> -</w:t>
      </w:r>
      <w:r w:rsidR="0000565E" w:rsidRPr="005D10C1">
        <w:rPr>
          <w:rFonts w:ascii="Candara" w:hAnsi="Candara"/>
        </w:rPr>
        <w:t>Instituto Nacional de la I</w:t>
      </w:r>
      <w:r w:rsidR="00D81B93" w:rsidRPr="005D10C1">
        <w:rPr>
          <w:rFonts w:ascii="Candara" w:hAnsi="Candara"/>
        </w:rPr>
        <w:t xml:space="preserve">nvestigación </w:t>
      </w:r>
      <w:r w:rsidR="0000565E" w:rsidRPr="005D10C1">
        <w:rPr>
          <w:rFonts w:ascii="Candara" w:hAnsi="Candara"/>
        </w:rPr>
        <w:t>en Informática y A</w:t>
      </w:r>
      <w:r w:rsidR="00A02920" w:rsidRPr="005D10C1">
        <w:rPr>
          <w:rFonts w:ascii="Candara" w:hAnsi="Candara"/>
        </w:rPr>
        <w:t>utomatización</w:t>
      </w:r>
      <w:r w:rsidR="00D81B93" w:rsidRPr="005D10C1">
        <w:rPr>
          <w:rFonts w:ascii="Candara" w:hAnsi="Candara"/>
        </w:rPr>
        <w:t xml:space="preserve">–, entre otros) </w:t>
      </w:r>
      <w:r w:rsidRPr="005D10C1">
        <w:rPr>
          <w:rFonts w:ascii="Candara" w:hAnsi="Candara"/>
        </w:rPr>
        <w:t xml:space="preserve">y alrededor de 180 </w:t>
      </w:r>
      <w:r w:rsidRPr="005D10C1">
        <w:rPr>
          <w:rFonts w:ascii="Candara" w:hAnsi="Candara"/>
          <w:i/>
        </w:rPr>
        <w:t>Grandes Ecoles</w:t>
      </w:r>
      <w:r w:rsidRPr="005D10C1">
        <w:rPr>
          <w:rFonts w:ascii="Candara" w:hAnsi="Candara"/>
        </w:rPr>
        <w:t xml:space="preserve"> (las escuelas públicas de ingeniería o agronomía y las escuelas administración). </w:t>
      </w:r>
      <w:r w:rsidR="008555F7" w:rsidRPr="005D10C1">
        <w:rPr>
          <w:rFonts w:ascii="Candara" w:hAnsi="Candara"/>
        </w:rPr>
        <w:t>El M</w:t>
      </w:r>
      <w:r w:rsidR="00EA061E" w:rsidRPr="005D10C1">
        <w:rPr>
          <w:rFonts w:ascii="Candara" w:hAnsi="Candara"/>
        </w:rPr>
        <w:t>inisterio calcula que unas 160.000 personas trabajan a tiempo completo en el sector de la investigación pública lo cual incluye a 96.000 investigadores</w:t>
      </w:r>
      <w:r w:rsidR="00F43022" w:rsidRPr="005D10C1">
        <w:rPr>
          <w:rFonts w:ascii="Candara" w:hAnsi="Candara"/>
        </w:rPr>
        <w:t xml:space="preserve"> </w:t>
      </w:r>
      <w:r w:rsidR="003B0D24" w:rsidRPr="005D10C1">
        <w:rPr>
          <w:rFonts w:ascii="Candara" w:hAnsi="Candara"/>
        </w:rPr>
        <w:fldChar w:fldCharType="begin" w:fldLock="1"/>
      </w:r>
      <w:r w:rsidR="00CA1A09" w:rsidRPr="005D10C1">
        <w:rPr>
          <w:rFonts w:ascii="Candara" w:hAnsi="Candara"/>
        </w:rPr>
        <w:instrText>ADDIN CSL_CITATION { "citationItems" : [ { "id" : "ITEM-1", "itemData" : { "ISBN" : "8473568044", "abstract" : "En menos de dos d\u00e9cadas nuestros modos de vida han cambiado sustancialmente, en parte gracias a que ahora las innovaciones entran por la puerta de nuestras casas natural y cotidianamente. Hemos interiorizado el uso de la tecnolog\u00eda de tal forma que ahora nos costar\u00eda mucho trabajo adaptarnos al modo de vida familiar o productivo que ten\u00edamos a principios de la d\u00e9cada de los noventa. Pero todav\u00eda nos queda un largo camino por recorrer. Un buen comienzo es conocer c\u00f3mo funcionan los Sistemas de Innovaci\u00f3n en Europa. \u00abEste libro ser\u00e1 de enorme utilidad para todos aquellos que quieran conocer el escenario en el que tiene lugar la innovaci\u00f3n en Espa\u00f1a y en otros doce pa\u00edses europeos. La inteligente decisi\u00f3n de acompa\u00f1ar el an\u00e1lisis del Sistema de Innovaci\u00f3n de cada pa\u00eds con estudios de caso ilustrativos, contribuye a dar una mayor comprensi\u00f3n del funcionamiento y de los logros alcanzados en cada uno de ellos. Lo recomiendo ampliamente para acad\u00e9micos, pol\u00edticos, gente de negocios y para todo aquel que se interese por el futuro de la innovaci\u00f3n en Europa.\u00bb Carlota P\u00e9rez, Catedr\u00e1tica de Tecnolog\u00eda y Desarrollo, Universidad Tecnol\u00f3gica de Tallin. Profesora honor\u00edfica de SPRU, Universidad de Sussex. \u00abSi verdaderamente Europa est\u00e1 dispuesta a alcanzar los objetivos planteados en la estrategia de Lisboa para situarla a la cabeza en materia de la Sociedad de la Informaci\u00f3n y el Conocimiento, es necesario tomar en consideraci\u00f3n las ense\u00f1anzas que se derivan del presente libro.\u00bb Petra Hegemann Catedr\u00e1tica de Econom\u00eda Aplicada, Universidad Libre de Berl\u00edn. \u00cdndice: El Sistema de Innovaci\u00f3n de Espa\u00f1a.- El Sistema de Innovaci\u00f3n de Alemania.- El Sistema de Innovaci\u00f3n de Austria.- El Sistema de Innovaci\u00f3n de B\u00e9lgica.- El Sistema de Innovaci\u00f3n de Francia.- El Sistema de Innovaci\u00f3n de Irlanda.- El Sistema de Innovaci\u00f3n de Italia.- El Sistema de Innovaci\u00f3n de los Pa\u00edses Bajos.- El Sistema de Innovaci\u00f3n de Portugal.- El Sistema de Innovaci\u00f3n del Reino Unido.- El Sistema de Innovaci\u00f3n de Suecia y Finlandia.- El Sistema de Innovaci\u00f3n de Suiza.- Luces y sombras de los Sistemas de Innovaci\u00f3n en Europa: balance y perspectivas de futuro.", "author" : [ { "dropping-particle" : "", "family" : "Berumen", "given" : "Sergio A.", "non-dropping-particle" : "", "parse-names" : false, "suffix" : "" } ], "id" : "ITEM-1", "issued" : { "date-parts" : [ [ "2011" ] ] }, "page" : "398", "publisher" : "ESIC Editorial", "publisher-place" : "Pozuelo de Alarc\u00f3n (Madrid)", "title" : "Los sistemas de innovaci\u00f3n en Europa", "type" : "book" }, "uris" : [ "http://www.mendeley.com/documents/?uuid=89742ae0-9b33-4054-a34b-4f45f672b394" ] } ], "mendeley" : { "previouslyFormattedCitation" : "(Berumen, 2011)" }, "properties" : { "noteIndex" : 0 }, "schema" : "https://github.com/citation-style-language/schema/raw/master/csl-citation.json" }</w:instrText>
      </w:r>
      <w:r w:rsidR="003B0D24" w:rsidRPr="005D10C1">
        <w:rPr>
          <w:rFonts w:ascii="Candara" w:hAnsi="Candara"/>
        </w:rPr>
        <w:fldChar w:fldCharType="separate"/>
      </w:r>
      <w:r w:rsidR="00BF17E8" w:rsidRPr="005D10C1">
        <w:rPr>
          <w:rFonts w:ascii="Candara" w:hAnsi="Candara"/>
          <w:noProof/>
        </w:rPr>
        <w:t>(Berumen, 2011)</w:t>
      </w:r>
      <w:r w:rsidR="003B0D24" w:rsidRPr="005D10C1">
        <w:rPr>
          <w:rFonts w:ascii="Candara" w:hAnsi="Candara"/>
        </w:rPr>
        <w:fldChar w:fldCharType="end"/>
      </w:r>
      <w:r w:rsidR="00EA061E" w:rsidRPr="005D10C1">
        <w:rPr>
          <w:rFonts w:ascii="Candara" w:hAnsi="Candara"/>
        </w:rPr>
        <w:t>.</w:t>
      </w:r>
      <w:r w:rsidR="00BF17E8" w:rsidRPr="005D10C1">
        <w:rPr>
          <w:rFonts w:ascii="Candara" w:hAnsi="Candara"/>
        </w:rPr>
        <w:t xml:space="preserve">Estas organizaciones de investigación públicas </w:t>
      </w:r>
      <w:r w:rsidR="00C67563" w:rsidRPr="005D10C1">
        <w:rPr>
          <w:rFonts w:ascii="Candara" w:hAnsi="Candara"/>
        </w:rPr>
        <w:t>poseen</w:t>
      </w:r>
      <w:r w:rsidR="00BF17E8" w:rsidRPr="005D10C1">
        <w:rPr>
          <w:rFonts w:ascii="Candara" w:hAnsi="Candara"/>
        </w:rPr>
        <w:t xml:space="preserve"> autonomía en la toma de decisiones y la estrategia de investigación, a diferencia de las universidades </w:t>
      </w:r>
      <w:r w:rsidR="00E044A9" w:rsidRPr="005D10C1">
        <w:rPr>
          <w:rFonts w:ascii="Candara" w:hAnsi="Candara"/>
        </w:rPr>
        <w:t xml:space="preserve">las cuales </w:t>
      </w:r>
      <w:r w:rsidR="00BF17E8" w:rsidRPr="005D10C1">
        <w:rPr>
          <w:rFonts w:ascii="Candara" w:hAnsi="Candara"/>
        </w:rPr>
        <w:t>carecen de autonomía tanto en la contratación (que depende de un concurso nacional para r</w:t>
      </w:r>
      <w:r w:rsidR="00E044A9" w:rsidRPr="005D10C1">
        <w:rPr>
          <w:rFonts w:ascii="Candara" w:hAnsi="Candara"/>
        </w:rPr>
        <w:t xml:space="preserve">eclutar </w:t>
      </w:r>
      <w:r w:rsidR="00E044A9" w:rsidRPr="005D10C1">
        <w:rPr>
          <w:rFonts w:ascii="Candara" w:hAnsi="Candara"/>
        </w:rPr>
        <w:lastRenderedPageBreak/>
        <w:t>funcionarios públicos) y en</w:t>
      </w:r>
      <w:r w:rsidR="00BF17E8" w:rsidRPr="005D10C1">
        <w:rPr>
          <w:rFonts w:ascii="Candara" w:hAnsi="Candara"/>
        </w:rPr>
        <w:t xml:space="preserve"> la gestión de su personal, o </w:t>
      </w:r>
      <w:r w:rsidR="00E044A9" w:rsidRPr="005D10C1">
        <w:rPr>
          <w:rFonts w:ascii="Candara" w:hAnsi="Candara"/>
        </w:rPr>
        <w:t>en la definición y establecimiento de</w:t>
      </w:r>
      <w:r w:rsidR="00BF17E8" w:rsidRPr="005D10C1">
        <w:rPr>
          <w:rFonts w:ascii="Candara" w:hAnsi="Candara"/>
        </w:rPr>
        <w:t xml:space="preserve"> </w:t>
      </w:r>
      <w:r w:rsidR="00C67563" w:rsidRPr="005D10C1">
        <w:rPr>
          <w:rFonts w:ascii="Candara" w:hAnsi="Candara"/>
        </w:rPr>
        <w:t>su</w:t>
      </w:r>
      <w:r w:rsidR="00BF17E8" w:rsidRPr="005D10C1">
        <w:rPr>
          <w:rFonts w:ascii="Candara" w:hAnsi="Candara"/>
        </w:rPr>
        <w:t xml:space="preserve"> estrategia</w:t>
      </w:r>
      <w:r w:rsidR="001A7A86" w:rsidRPr="005D10C1">
        <w:rPr>
          <w:rFonts w:ascii="Candara" w:hAnsi="Candara"/>
        </w:rPr>
        <w:t xml:space="preserve"> </w:t>
      </w:r>
      <w:r w:rsidR="003B0D24" w:rsidRPr="005D10C1">
        <w:rPr>
          <w:rFonts w:ascii="Candara" w:hAnsi="Candara"/>
        </w:rPr>
        <w:fldChar w:fldCharType="begin" w:fldLock="1"/>
      </w:r>
      <w:r w:rsidR="00CA1A09" w:rsidRPr="005D10C1">
        <w:rPr>
          <w:rFonts w:ascii="Candara" w:hAnsi="Candara"/>
        </w:rPr>
        <w:instrText>ADDIN CSL_CITATION { "citationItems" : [ { "id" : "ITEM-1", "itemData" : { "DOI" : "10.1007/s10961-009-9113-7", "ISBN" : "1096100991", "ISSN" : "0892-9912", "author" : [ { "dropping-particle" : "", "family" : "Mustar", "given" : "P", "non-dropping-particle" : "", "parse-names" : false, "suffix" : "" }, { "dropping-particle" : "", "family" : "Wright", "given" : "M", "non-dropping-particle" : "", "parse-names" : false, "suffix" : "" } ], "container-title" : "The Journal of Technology Transfer", "id" : "ITEM-1", "issue" : "1", "issued" : { "date-parts" : [ [ "2009", "3", "10" ] ] }, "page" : "42-65", "title" : "Convergence or path dependency in policies to foster the creation of university spin-off firms? A comparison of France and the United Kingdom", "type" : "article-journal", "volume" : "35" }, "uris" : [ "http://www.mendeley.com/documents/?uuid=e499b193-412d-4416-b804-a2649cc58f22" ] } ], "mendeley" : { "previouslyFormattedCitation" : "(Mustar &amp; Wright, 2009)" }, "properties" : { "noteIndex" : 0 }, "schema" : "https://github.com/citation-style-language/schema/raw/master/csl-citation.json" }</w:instrText>
      </w:r>
      <w:r w:rsidR="003B0D24" w:rsidRPr="005D10C1">
        <w:rPr>
          <w:rFonts w:ascii="Candara" w:hAnsi="Candara"/>
        </w:rPr>
        <w:fldChar w:fldCharType="separate"/>
      </w:r>
      <w:r w:rsidR="004C5950" w:rsidRPr="005D10C1">
        <w:rPr>
          <w:rFonts w:ascii="Candara" w:hAnsi="Candara"/>
          <w:noProof/>
        </w:rPr>
        <w:t>(Mustar &amp; Wright, 2009)</w:t>
      </w:r>
      <w:r w:rsidR="003B0D24" w:rsidRPr="005D10C1">
        <w:rPr>
          <w:rFonts w:ascii="Candara" w:hAnsi="Candara"/>
        </w:rPr>
        <w:fldChar w:fldCharType="end"/>
      </w:r>
      <w:r w:rsidR="00BF17E8" w:rsidRPr="005D10C1">
        <w:rPr>
          <w:rFonts w:ascii="Candara" w:hAnsi="Candara"/>
        </w:rPr>
        <w:t>.</w:t>
      </w:r>
    </w:p>
    <w:p w14:paraId="4113A4C9" w14:textId="77777777" w:rsidR="00EF48BE" w:rsidRPr="005D10C1" w:rsidRDefault="00EF48BE" w:rsidP="007A5001">
      <w:pPr>
        <w:spacing w:line="360" w:lineRule="auto"/>
        <w:rPr>
          <w:rFonts w:ascii="Candara" w:hAnsi="Candara"/>
        </w:rPr>
      </w:pPr>
    </w:p>
    <w:p w14:paraId="29A5848B" w14:textId="77777777" w:rsidR="007A5001" w:rsidRPr="005D10C1" w:rsidRDefault="00EA061E" w:rsidP="007A5001">
      <w:pPr>
        <w:spacing w:line="360" w:lineRule="auto"/>
        <w:rPr>
          <w:rFonts w:ascii="Candara" w:hAnsi="Candara"/>
        </w:rPr>
      </w:pPr>
      <w:r w:rsidRPr="005D10C1">
        <w:rPr>
          <w:rFonts w:ascii="Candara" w:hAnsi="Candara"/>
        </w:rPr>
        <w:t>La investigación en el sector privado se desarrolla en grandes empresas industriales y tecnológicas con una fuerte capacidad financiera, lo cual genera 200.000 empleos</w:t>
      </w:r>
      <w:r w:rsidR="00C452C6" w:rsidRPr="005D10C1">
        <w:rPr>
          <w:rFonts w:ascii="Candara" w:hAnsi="Candara"/>
        </w:rPr>
        <w:t>, en las ramas de: electrónica, automovilismo, servicios de informática y farmacéutico.</w:t>
      </w:r>
    </w:p>
    <w:p w14:paraId="4DDA93F3" w14:textId="77777777" w:rsidR="007A5001" w:rsidRPr="005D10C1" w:rsidRDefault="007A5001" w:rsidP="007A5001">
      <w:pPr>
        <w:spacing w:line="360" w:lineRule="auto"/>
        <w:rPr>
          <w:rFonts w:ascii="Candara" w:hAnsi="Candara"/>
        </w:rPr>
      </w:pPr>
    </w:p>
    <w:p w14:paraId="556AA7BE" w14:textId="77777777" w:rsidR="007A5001" w:rsidRPr="005D10C1" w:rsidRDefault="007A5001" w:rsidP="007A5001">
      <w:pPr>
        <w:spacing w:line="360" w:lineRule="auto"/>
        <w:rPr>
          <w:rFonts w:ascii="Candara" w:hAnsi="Candara"/>
        </w:rPr>
      </w:pPr>
      <w:r w:rsidRPr="005D10C1">
        <w:rPr>
          <w:rFonts w:ascii="Candara" w:hAnsi="Candara"/>
        </w:rPr>
        <w:t xml:space="preserve">La mayoría de las universidades francesas están fuertemente involucradas en programas europeos de investigación con empresas, o, a nivel regional, en cooperación con la industria local. Esto se deriva </w:t>
      </w:r>
      <w:r w:rsidR="00DE34DD" w:rsidRPr="005D10C1">
        <w:rPr>
          <w:rFonts w:ascii="Candara" w:hAnsi="Candara"/>
        </w:rPr>
        <w:t>de</w:t>
      </w:r>
      <w:r w:rsidRPr="005D10C1">
        <w:rPr>
          <w:rFonts w:ascii="Candara" w:hAnsi="Candara"/>
        </w:rPr>
        <w:t xml:space="preserve"> la disminución de recursos para los programas militares y civiles y </w:t>
      </w:r>
      <w:r w:rsidR="00AF5F20" w:rsidRPr="005D10C1">
        <w:rPr>
          <w:rFonts w:ascii="Candara" w:hAnsi="Candara"/>
        </w:rPr>
        <w:t>el aumento en el</w:t>
      </w:r>
      <w:r w:rsidRPr="005D10C1">
        <w:rPr>
          <w:rFonts w:ascii="Candara" w:hAnsi="Candara"/>
        </w:rPr>
        <w:t xml:space="preserve"> apoyo a las PYME y </w:t>
      </w:r>
      <w:r w:rsidR="00AF5F20" w:rsidRPr="005D10C1">
        <w:rPr>
          <w:rFonts w:ascii="Candara" w:hAnsi="Candara"/>
        </w:rPr>
        <w:t>a</w:t>
      </w:r>
      <w:r w:rsidRPr="005D10C1">
        <w:rPr>
          <w:rFonts w:ascii="Candara" w:hAnsi="Candara"/>
        </w:rPr>
        <w:t xml:space="preserve"> las empresas de alta tecnología usando el sector público de investigación como vehículo principal </w:t>
      </w:r>
      <w:r w:rsidR="003B0D24" w:rsidRPr="005D10C1">
        <w:rPr>
          <w:rFonts w:ascii="Candara" w:hAnsi="Candara"/>
        </w:rPr>
        <w:fldChar w:fldCharType="begin" w:fldLock="1"/>
      </w:r>
      <w:r w:rsidR="00CA1A09" w:rsidRPr="005D10C1">
        <w:rPr>
          <w:rFonts w:ascii="Candara" w:hAnsi="Candara"/>
        </w:rPr>
        <w:instrText>ADDIN CSL_CITATION { "citationItems" : [ { "id" : "ITEM-1", "itemData" : { "DOI" : "10.1007/s10961-009-9113-7", "ISBN" : "1096100991", "ISSN" : "0892-9912", "author" : [ { "dropping-particle" : "", "family" : "Mustar", "given" : "P", "non-dropping-particle" : "", "parse-names" : false, "suffix" : "" }, { "dropping-particle" : "", "family" : "Wright", "given" : "M", "non-dropping-particle" : "", "parse-names" : false, "suffix" : "" } ], "container-title" : "The Journal of Technology Transfer", "id" : "ITEM-1", "issue" : "1", "issued" : { "date-parts" : [ [ "2009", "3", "10" ] ] }, "page" : "42-65", "title" : "Convergence or path dependency in policies to foster the creation of university spin-off firms? A comparison of France and the United Kingdom", "type" : "article-journal", "volume" : "35" }, "uris" : [ "http://www.mendeley.com/documents/?uuid=e499b193-412d-4416-b804-a2649cc58f22" ] } ], "mendeley" : { "previouslyFormattedCitation" : "(Mustar &amp; Wright, 2009)" }, "properties" : { "noteIndex" : 0 }, "schema" : "https://github.com/citation-style-language/schema/raw/master/csl-citation.json" }</w:instrText>
      </w:r>
      <w:r w:rsidR="003B0D24" w:rsidRPr="005D10C1">
        <w:rPr>
          <w:rFonts w:ascii="Candara" w:hAnsi="Candara"/>
        </w:rPr>
        <w:fldChar w:fldCharType="separate"/>
      </w:r>
      <w:r w:rsidR="004C5950" w:rsidRPr="005D10C1">
        <w:rPr>
          <w:rFonts w:ascii="Candara" w:hAnsi="Candara"/>
          <w:noProof/>
        </w:rPr>
        <w:t>(Mustar &amp; Wright, 2009)</w:t>
      </w:r>
      <w:r w:rsidR="003B0D24" w:rsidRPr="005D10C1">
        <w:rPr>
          <w:rFonts w:ascii="Candara" w:hAnsi="Candara"/>
        </w:rPr>
        <w:fldChar w:fldCharType="end"/>
      </w:r>
      <w:r w:rsidRPr="005D10C1">
        <w:rPr>
          <w:rFonts w:ascii="Candara" w:hAnsi="Candara"/>
        </w:rPr>
        <w:t>.</w:t>
      </w:r>
    </w:p>
    <w:p w14:paraId="77B21563" w14:textId="77777777" w:rsidR="00D224A4" w:rsidRPr="005D10C1" w:rsidRDefault="00D224A4" w:rsidP="007A5001">
      <w:pPr>
        <w:spacing w:line="360" w:lineRule="auto"/>
        <w:rPr>
          <w:rFonts w:ascii="Candara" w:hAnsi="Candara"/>
        </w:rPr>
      </w:pPr>
    </w:p>
    <w:p w14:paraId="05EB705A" w14:textId="77777777" w:rsidR="00D224A4" w:rsidRPr="005D10C1" w:rsidRDefault="0052775D" w:rsidP="007A5001">
      <w:pPr>
        <w:spacing w:line="360" w:lineRule="auto"/>
        <w:rPr>
          <w:rFonts w:ascii="Candara" w:hAnsi="Candara"/>
        </w:rPr>
      </w:pPr>
      <w:r w:rsidRPr="005D10C1">
        <w:rPr>
          <w:rFonts w:ascii="Candara" w:hAnsi="Candara"/>
        </w:rPr>
        <w:t xml:space="preserve">La </w:t>
      </w:r>
      <w:r w:rsidRPr="005D10C1">
        <w:rPr>
          <w:rFonts w:ascii="Candara" w:hAnsi="Candara"/>
          <w:b/>
        </w:rPr>
        <w:t>financiación</w:t>
      </w:r>
      <w:r w:rsidRPr="005D10C1">
        <w:rPr>
          <w:rFonts w:ascii="Candara" w:hAnsi="Candara"/>
        </w:rPr>
        <w:t xml:space="preserve"> de los laboratorios públicos </w:t>
      </w:r>
      <w:r w:rsidR="00AB7438" w:rsidRPr="005D10C1">
        <w:rPr>
          <w:rFonts w:ascii="Candara" w:hAnsi="Candara"/>
        </w:rPr>
        <w:t>se realiza conjuntamente entre las universidades,</w:t>
      </w:r>
      <w:r w:rsidRPr="005D10C1">
        <w:rPr>
          <w:rFonts w:ascii="Candara" w:hAnsi="Candara"/>
        </w:rPr>
        <w:t xml:space="preserve"> los grandes organismos públicos de investigación y la</w:t>
      </w:r>
      <w:r w:rsidR="004C5950" w:rsidRPr="005D10C1">
        <w:rPr>
          <w:rFonts w:ascii="Candara" w:hAnsi="Candara"/>
        </w:rPr>
        <w:t xml:space="preserve">s agencias de financiación como </w:t>
      </w:r>
      <w:r w:rsidRPr="005D10C1">
        <w:rPr>
          <w:rFonts w:ascii="Candara" w:hAnsi="Candara"/>
        </w:rPr>
        <w:t xml:space="preserve">la Agencia Nacional de Investigación. También </w:t>
      </w:r>
      <w:r w:rsidR="00AB7438" w:rsidRPr="005D10C1">
        <w:rPr>
          <w:rFonts w:ascii="Candara" w:hAnsi="Candara"/>
        </w:rPr>
        <w:t xml:space="preserve">se </w:t>
      </w:r>
      <w:r w:rsidRPr="005D10C1">
        <w:rPr>
          <w:rFonts w:ascii="Candara" w:hAnsi="Candara"/>
        </w:rPr>
        <w:t>reciben recursos de asociaciones sin ánimo de lucro de la industria y la U</w:t>
      </w:r>
      <w:r w:rsidR="00EE4D36" w:rsidRPr="005D10C1">
        <w:rPr>
          <w:rFonts w:ascii="Candara" w:hAnsi="Candara"/>
        </w:rPr>
        <w:t xml:space="preserve">nión </w:t>
      </w:r>
      <w:r w:rsidRPr="005D10C1">
        <w:rPr>
          <w:rFonts w:ascii="Candara" w:hAnsi="Candara"/>
        </w:rPr>
        <w:t>E</w:t>
      </w:r>
      <w:r w:rsidR="00EE4D36" w:rsidRPr="005D10C1">
        <w:rPr>
          <w:rFonts w:ascii="Candara" w:hAnsi="Candara"/>
        </w:rPr>
        <w:t>uropea</w:t>
      </w:r>
      <w:r w:rsidRPr="005D10C1">
        <w:rPr>
          <w:rFonts w:ascii="Candara" w:hAnsi="Candara"/>
        </w:rPr>
        <w:t>.</w:t>
      </w:r>
      <w:r w:rsidR="00B217D0" w:rsidRPr="005D10C1">
        <w:rPr>
          <w:rFonts w:ascii="Candara" w:hAnsi="Candara"/>
        </w:rPr>
        <w:t xml:space="preserve"> En lo privado el estado apoya </w:t>
      </w:r>
      <w:r w:rsidR="00366F0F" w:rsidRPr="005D10C1">
        <w:rPr>
          <w:rFonts w:ascii="Candara" w:hAnsi="Candara"/>
        </w:rPr>
        <w:t xml:space="preserve">con </w:t>
      </w:r>
      <w:r w:rsidR="00B217D0" w:rsidRPr="005D10C1">
        <w:rPr>
          <w:rFonts w:ascii="Candara" w:hAnsi="Candara"/>
        </w:rPr>
        <w:t xml:space="preserve">programas de pequeña y mediana empresa mediante el organismo Apoyo </w:t>
      </w:r>
      <w:r w:rsidR="00683097" w:rsidRPr="005D10C1">
        <w:rPr>
          <w:rFonts w:ascii="Candara" w:hAnsi="Candara"/>
        </w:rPr>
        <w:t xml:space="preserve">Para La Innovación Y Crecimientos De </w:t>
      </w:r>
      <w:r w:rsidR="00B217D0" w:rsidRPr="005D10C1">
        <w:rPr>
          <w:rFonts w:ascii="Candara" w:hAnsi="Candara"/>
        </w:rPr>
        <w:t>las PYME.</w:t>
      </w:r>
    </w:p>
    <w:p w14:paraId="3441EA10" w14:textId="77777777" w:rsidR="00AB7438" w:rsidRPr="005D10C1" w:rsidRDefault="00AB7438" w:rsidP="007A5001">
      <w:pPr>
        <w:spacing w:line="360" w:lineRule="auto"/>
        <w:rPr>
          <w:rFonts w:ascii="Candara" w:hAnsi="Candara"/>
        </w:rPr>
      </w:pPr>
    </w:p>
    <w:p w14:paraId="5FBD3895" w14:textId="77777777" w:rsidR="00904DCD" w:rsidRPr="005D10C1" w:rsidRDefault="00904DCD" w:rsidP="007A5001">
      <w:pPr>
        <w:spacing w:line="360" w:lineRule="auto"/>
        <w:rPr>
          <w:rFonts w:ascii="Candara" w:hAnsi="Candara"/>
        </w:rPr>
      </w:pPr>
      <w:r w:rsidRPr="005D10C1">
        <w:rPr>
          <w:rFonts w:ascii="Candara" w:hAnsi="Candara"/>
        </w:rPr>
        <w:t xml:space="preserve">Por último existe una </w:t>
      </w:r>
      <w:r w:rsidR="00744D40" w:rsidRPr="005D10C1">
        <w:rPr>
          <w:rFonts w:ascii="Candara" w:hAnsi="Candara"/>
        </w:rPr>
        <w:t xml:space="preserve">Agencia De Evaluación De La Investigación Y De La Educación Superior, </w:t>
      </w:r>
      <w:r w:rsidRPr="005D10C1">
        <w:rPr>
          <w:rFonts w:ascii="Candara" w:hAnsi="Candara"/>
        </w:rPr>
        <w:t xml:space="preserve">que se encarga de </w:t>
      </w:r>
      <w:r w:rsidRPr="005D10C1">
        <w:rPr>
          <w:rFonts w:ascii="Candara" w:hAnsi="Candara"/>
          <w:b/>
        </w:rPr>
        <w:t>evaluar</w:t>
      </w:r>
      <w:r w:rsidRPr="005D10C1">
        <w:rPr>
          <w:rFonts w:ascii="Candara" w:hAnsi="Candara"/>
        </w:rPr>
        <w:t xml:space="preserve"> de forma independiente los organismos y centros de </w:t>
      </w:r>
      <w:r w:rsidR="003067C3" w:rsidRPr="005D10C1">
        <w:rPr>
          <w:rFonts w:ascii="Candara" w:hAnsi="Candara"/>
        </w:rPr>
        <w:t>enseñanza</w:t>
      </w:r>
      <w:r w:rsidRPr="005D10C1">
        <w:rPr>
          <w:rFonts w:ascii="Candara" w:hAnsi="Candara"/>
        </w:rPr>
        <w:t xml:space="preserve"> que desarrollan actividades de investigación y ciclos superiores de formación, con el fin de medir y mejorar la eficacia del sistema de I+D en su conjunto </w:t>
      </w:r>
      <w:r w:rsidR="003B0D24" w:rsidRPr="005D10C1">
        <w:rPr>
          <w:rFonts w:ascii="Candara" w:hAnsi="Candara"/>
        </w:rPr>
        <w:fldChar w:fldCharType="begin" w:fldLock="1"/>
      </w:r>
      <w:r w:rsidR="00CA1A09" w:rsidRPr="005D10C1">
        <w:rPr>
          <w:rFonts w:ascii="Candara" w:hAnsi="Candara"/>
        </w:rPr>
        <w:instrText>ADDIN CSL_CITATION { "citationItems" : [ { "id" : "ITEM-1", "itemData" : { "ISBN" : "8473568044", "abstract" : "En menos de dos d\u00e9cadas nuestros modos de vida han cambiado sustancialmente, en parte gracias a que ahora las innovaciones entran por la puerta de nuestras casas natural y cotidianamente. Hemos interiorizado el uso de la tecnolog\u00eda de tal forma que ahora nos costar\u00eda mucho trabajo adaptarnos al modo de vida familiar o productivo que ten\u00edamos a principios de la d\u00e9cada de los noventa. Pero todav\u00eda nos queda un largo camino por recorrer. Un buen comienzo es conocer c\u00f3mo funcionan los Sistemas de Innovaci\u00f3n en Europa. \u00abEste libro ser\u00e1 de enorme utilidad para todos aquellos que quieran conocer el escenario en el que tiene lugar la innovaci\u00f3n en Espa\u00f1a y en otros doce pa\u00edses europeos. La inteligente decisi\u00f3n de acompa\u00f1ar el an\u00e1lisis del Sistema de Innovaci\u00f3n de cada pa\u00eds con estudios de caso ilustrativos, contribuye a dar una mayor comprensi\u00f3n del funcionamiento y de los logros alcanzados en cada uno de ellos. Lo recomiendo ampliamente para acad\u00e9micos, pol\u00edticos, gente de negocios y para todo aquel que se interese por el futuro de la innovaci\u00f3n en Europa.\u00bb Carlota P\u00e9rez, Catedr\u00e1tica de Tecnolog\u00eda y Desarrollo, Universidad Tecnol\u00f3gica de Tallin. Profesora honor\u00edfica de SPRU, Universidad de Sussex. \u00abSi verdaderamente Europa est\u00e1 dispuesta a alcanzar los objetivos planteados en la estrategia de Lisboa para situarla a la cabeza en materia de la Sociedad de la Informaci\u00f3n y el Conocimiento, es necesario tomar en consideraci\u00f3n las ense\u00f1anzas que se derivan del presente libro.\u00bb Petra Hegemann Catedr\u00e1tica de Econom\u00eda Aplicada, Universidad Libre de Berl\u00edn. \u00cdndice: El Sistema de Innovaci\u00f3n de Espa\u00f1a.- El Sistema de Innovaci\u00f3n de Alemania.- El Sistema de Innovaci\u00f3n de Austria.- El Sistema de Innovaci\u00f3n de B\u00e9lgica.- El Sistema de Innovaci\u00f3n de Francia.- El Sistema de Innovaci\u00f3n de Irlanda.- El Sistema de Innovaci\u00f3n de Italia.- El Sistema de Innovaci\u00f3n de los Pa\u00edses Bajos.- El Sistema de Innovaci\u00f3n de Portugal.- El Sistema de Innovaci\u00f3n del Reino Unido.- El Sistema de Innovaci\u00f3n de Suecia y Finlandia.- El Sistema de Innovaci\u00f3n de Suiza.- Luces y sombras de los Sistemas de Innovaci\u00f3n en Europa: balance y perspectivas de futuro.", "author" : [ { "dropping-particle" : "", "family" : "Berumen", "given" : "Sergio A.", "non-dropping-particle" : "", "parse-names" : false, "suffix" : "" } ], "id" : "ITEM-1", "issued" : { "date-parts" : [ [ "2011" ] ] }, "page" : "398", "publisher" : "ESIC Editorial", "publisher-place" : "Pozuelo de Alarc\u00f3n (Madrid)", "title" : "Los sistemas de innovaci\u00f3n en Europa", "type" : "book" }, "uris" : [ "http://www.mendeley.com/documents/?uuid=89742ae0-9b33-4054-a34b-4f45f672b394" ] } ], "mendeley" : { "previouslyFormattedCitation" : "(Berumen, 2011)" }, "properties" : { "noteIndex" : 0 }, "schema" : "https://github.com/citation-style-language/schema/raw/master/csl-citation.json" }</w:instrText>
      </w:r>
      <w:r w:rsidR="003B0D24" w:rsidRPr="005D10C1">
        <w:rPr>
          <w:rFonts w:ascii="Candara" w:hAnsi="Candara"/>
        </w:rPr>
        <w:fldChar w:fldCharType="separate"/>
      </w:r>
      <w:r w:rsidRPr="005D10C1">
        <w:rPr>
          <w:rFonts w:ascii="Candara" w:hAnsi="Candara"/>
          <w:noProof/>
        </w:rPr>
        <w:t>(Berumen, 2011)</w:t>
      </w:r>
      <w:r w:rsidR="003B0D24" w:rsidRPr="005D10C1">
        <w:rPr>
          <w:rFonts w:ascii="Candara" w:hAnsi="Candara"/>
        </w:rPr>
        <w:fldChar w:fldCharType="end"/>
      </w:r>
      <w:r w:rsidRPr="005D10C1">
        <w:rPr>
          <w:rFonts w:ascii="Candara" w:hAnsi="Candara"/>
        </w:rPr>
        <w:t>.</w:t>
      </w:r>
    </w:p>
    <w:p w14:paraId="7930A4FC" w14:textId="77777777" w:rsidR="00C63CE9" w:rsidRPr="005D10C1" w:rsidRDefault="00C63CE9" w:rsidP="007A5001">
      <w:pPr>
        <w:spacing w:line="360" w:lineRule="auto"/>
        <w:rPr>
          <w:rFonts w:ascii="Candara" w:hAnsi="Candara"/>
        </w:rPr>
      </w:pPr>
    </w:p>
    <w:p w14:paraId="5A365739" w14:textId="77777777" w:rsidR="000152FF" w:rsidRPr="005D10C1" w:rsidRDefault="00DB0C1B" w:rsidP="007A5001">
      <w:pPr>
        <w:spacing w:line="360" w:lineRule="auto"/>
        <w:rPr>
          <w:rFonts w:ascii="Candara" w:hAnsi="Candara"/>
        </w:rPr>
      </w:pPr>
      <w:r>
        <w:rPr>
          <w:rFonts w:ascii="Candara" w:hAnsi="Candara"/>
          <w:noProof/>
        </w:rPr>
        <w:lastRenderedPageBreak/>
        <w:object w:dxaOrig="1440" w:dyaOrig="1440" w14:anchorId="771F6716">
          <v:shape id="_x0000_s1027" type="#_x0000_t75" style="position:absolute;left:0;text-align:left;margin-left:48.2pt;margin-top:95.1pt;width:344.35pt;height:257.95pt;z-index:251658240" stroked="t" strokeweight=".5pt">
            <v:imagedata r:id="rId18" o:title=""/>
            <w10:wrap type="topAndBottom"/>
          </v:shape>
          <o:OLEObject Type="Embed" ProgID="PowerPoint.Slide.12" ShapeID="_x0000_s1027" DrawAspect="Content" ObjectID="_1620469851" r:id="rId19"/>
        </w:object>
      </w:r>
      <w:r w:rsidR="000152FF" w:rsidRPr="005D10C1">
        <w:rPr>
          <w:rFonts w:ascii="Candara" w:hAnsi="Candara"/>
        </w:rPr>
        <w:t xml:space="preserve">En la </w:t>
      </w:r>
      <w:r w:rsidR="00A57352">
        <w:fldChar w:fldCharType="begin"/>
      </w:r>
      <w:r w:rsidR="00A57352">
        <w:instrText xml:space="preserve"> REF _Ref367969860 \h  \* MERGEFORMAT </w:instrText>
      </w:r>
      <w:r w:rsidR="00A57352">
        <w:fldChar w:fldCharType="separate"/>
      </w:r>
      <w:r w:rsidR="005D10C1" w:rsidRPr="005D10C1">
        <w:rPr>
          <w:rFonts w:ascii="Candara" w:hAnsi="Candara"/>
        </w:rPr>
        <w:t>Ilustración 6</w:t>
      </w:r>
      <w:r w:rsidR="005D10C1" w:rsidRPr="005D10C1">
        <w:rPr>
          <w:rFonts w:ascii="Candara" w:hAnsi="Candara"/>
          <w:b/>
        </w:rPr>
        <w:t>: Sistema de Innovación de Francia</w:t>
      </w:r>
      <w:r w:rsidR="00A57352">
        <w:fldChar w:fldCharType="end"/>
      </w:r>
      <w:r w:rsidR="00D71B24" w:rsidRPr="005D10C1">
        <w:rPr>
          <w:rFonts w:ascii="Candara" w:hAnsi="Candara"/>
        </w:rPr>
        <w:t xml:space="preserve"> </w:t>
      </w:r>
      <w:r w:rsidR="000152FF" w:rsidRPr="005D10C1">
        <w:rPr>
          <w:rFonts w:ascii="Candara" w:hAnsi="Candara"/>
        </w:rPr>
        <w:t xml:space="preserve">se </w:t>
      </w:r>
      <w:r w:rsidR="00DB1847" w:rsidRPr="005D10C1">
        <w:rPr>
          <w:rFonts w:ascii="Candara" w:hAnsi="Candara"/>
        </w:rPr>
        <w:t>presenta</w:t>
      </w:r>
      <w:r w:rsidR="000152FF" w:rsidRPr="005D10C1">
        <w:rPr>
          <w:rFonts w:ascii="Candara" w:hAnsi="Candara"/>
        </w:rPr>
        <w:t xml:space="preserve"> de manera gráfica </w:t>
      </w:r>
      <w:r w:rsidR="00346C5B" w:rsidRPr="005D10C1">
        <w:rPr>
          <w:rFonts w:ascii="Candara" w:hAnsi="Candara"/>
        </w:rPr>
        <w:t>un resumen d</w:t>
      </w:r>
      <w:r w:rsidR="000152FF" w:rsidRPr="005D10C1">
        <w:rPr>
          <w:rFonts w:ascii="Candara" w:hAnsi="Candara"/>
        </w:rPr>
        <w:t xml:space="preserve">el sistema de innovación francés, en el cual se </w:t>
      </w:r>
      <w:r w:rsidR="00DB1847" w:rsidRPr="005D10C1">
        <w:rPr>
          <w:rFonts w:ascii="Candara" w:hAnsi="Candara"/>
        </w:rPr>
        <w:t>pueden observar</w:t>
      </w:r>
      <w:r w:rsidR="000152FF" w:rsidRPr="005D10C1">
        <w:rPr>
          <w:rFonts w:ascii="Candara" w:hAnsi="Candara"/>
        </w:rPr>
        <w:t xml:space="preserve"> las diversas relaciones entre los diferentes agentes que intervienen en éste </w:t>
      </w:r>
      <w:r w:rsidR="003B0D24" w:rsidRPr="005D10C1">
        <w:rPr>
          <w:rFonts w:ascii="Candara" w:hAnsi="Candara"/>
        </w:rPr>
        <w:fldChar w:fldCharType="begin" w:fldLock="1"/>
      </w:r>
      <w:r w:rsidR="00CA1A09" w:rsidRPr="005D10C1">
        <w:rPr>
          <w:rFonts w:ascii="Candara" w:hAnsi="Candara"/>
        </w:rPr>
        <w:instrText>ADDIN CSL_CITATION { "citationItems" : [ { "id" : "ITEM-1", "itemData" : { "URL" : "http://www.enseignementsup-recherche.gouv.fr/cid56382/organisation-du-systeme-de-recherche-et-d-innovation.html", "abstract" : "La politique fran&amp;ccedil;aise de recherche est conduite par le minist&amp;egrave;re de l'Enseignement sup&amp;eacute;rieur et de la Recherche. Les activit&amp;eacute;s de recherche sont r&amp;eacute;alis&amp;eacute;es soit dans les &amp;eacute;tablissements d'enseignement sup&amp;eacute;rieur ou les organismes de recherche (recherche publique), soit dans les entreprises (recherche priv&amp;eacute;e). Au total, 393 1310 personnes travaillent dans ce secteur dont 232 764 chercheurs.", "accessed" : { "date-parts" : [ [ "2013", "9", "26" ] ] }, "id" : "ITEM-1", "issued" : { "date-parts" : [ [ "2011" ] ] }, "title" : "Organisation du syst\u00e8me de recherche et d'innovation", "type" : "webpage" }, "uris" : [ "http://www.mendeley.com/documents/?uuid=c243ad7d-098e-4738-a83e-fcfea08fe19d" ] } ], "mendeley" : { "previouslyFormattedCitation" : "(\u201cOrganisation du syst\u00e8me de recherche et d\u2019innovation,\u201d 2011)" }, "properties" : { "noteIndex" : 0 }, "schema" : "https://github.com/citation-style-language/schema/raw/master/csl-citation.json" }</w:instrText>
      </w:r>
      <w:r w:rsidR="003B0D24" w:rsidRPr="005D10C1">
        <w:rPr>
          <w:rFonts w:ascii="Candara" w:hAnsi="Candara"/>
        </w:rPr>
        <w:fldChar w:fldCharType="separate"/>
      </w:r>
      <w:r w:rsidR="002774AB" w:rsidRPr="005D10C1">
        <w:rPr>
          <w:rFonts w:ascii="Candara" w:hAnsi="Candara"/>
          <w:noProof/>
        </w:rPr>
        <w:t>(“Organisation du système de recherche et d’innovation,” 2011)</w:t>
      </w:r>
      <w:r w:rsidR="003B0D24" w:rsidRPr="005D10C1">
        <w:rPr>
          <w:rFonts w:ascii="Candara" w:hAnsi="Candara"/>
        </w:rPr>
        <w:fldChar w:fldCharType="end"/>
      </w:r>
      <w:r w:rsidR="000152FF" w:rsidRPr="005D10C1">
        <w:rPr>
          <w:rFonts w:ascii="Candara" w:hAnsi="Candara"/>
        </w:rPr>
        <w:t>.</w:t>
      </w:r>
    </w:p>
    <w:p w14:paraId="71BD1353" w14:textId="77777777" w:rsidR="00C63CE9" w:rsidRPr="005D10C1" w:rsidRDefault="00F66898" w:rsidP="00F66898">
      <w:pPr>
        <w:pStyle w:val="Descripcin"/>
        <w:rPr>
          <w:rFonts w:ascii="Candara" w:hAnsi="Candara"/>
          <w:b w:val="0"/>
          <w:color w:val="auto"/>
        </w:rPr>
      </w:pPr>
      <w:bookmarkStart w:id="253" w:name="_Ref367969860"/>
      <w:bookmarkStart w:id="254" w:name="_Ref367969854"/>
      <w:bookmarkStart w:id="255" w:name="_Toc374621196"/>
      <w:bookmarkStart w:id="256" w:name="_Toc377652597"/>
      <w:r w:rsidRPr="005D10C1">
        <w:rPr>
          <w:rFonts w:ascii="Candara" w:hAnsi="Candara"/>
          <w:b w:val="0"/>
          <w:color w:val="auto"/>
        </w:rPr>
        <w:t xml:space="preserve">Ilustración </w:t>
      </w:r>
      <w:r w:rsidR="003B0D24" w:rsidRPr="005D10C1">
        <w:rPr>
          <w:rFonts w:ascii="Candara" w:hAnsi="Candara"/>
          <w:b w:val="0"/>
          <w:color w:val="auto"/>
        </w:rPr>
        <w:fldChar w:fldCharType="begin"/>
      </w:r>
      <w:r w:rsidRPr="005D10C1">
        <w:rPr>
          <w:rFonts w:ascii="Candara" w:hAnsi="Candara"/>
          <w:b w:val="0"/>
          <w:color w:val="auto"/>
        </w:rPr>
        <w:instrText xml:space="preserve"> SEQ Ilustración \* ARABIC </w:instrText>
      </w:r>
      <w:r w:rsidR="003B0D24" w:rsidRPr="005D10C1">
        <w:rPr>
          <w:rFonts w:ascii="Candara" w:hAnsi="Candara"/>
          <w:b w:val="0"/>
          <w:color w:val="auto"/>
        </w:rPr>
        <w:fldChar w:fldCharType="separate"/>
      </w:r>
      <w:r w:rsidR="005D10C1">
        <w:rPr>
          <w:rFonts w:ascii="Candara" w:hAnsi="Candara"/>
          <w:b w:val="0"/>
          <w:noProof/>
          <w:color w:val="auto"/>
        </w:rPr>
        <w:t>6</w:t>
      </w:r>
      <w:r w:rsidR="003B0D24" w:rsidRPr="005D10C1">
        <w:rPr>
          <w:rFonts w:ascii="Candara" w:hAnsi="Candara"/>
          <w:b w:val="0"/>
          <w:color w:val="auto"/>
        </w:rPr>
        <w:fldChar w:fldCharType="end"/>
      </w:r>
      <w:r w:rsidRPr="005D10C1">
        <w:rPr>
          <w:rFonts w:ascii="Candara" w:hAnsi="Candara"/>
          <w:b w:val="0"/>
          <w:color w:val="auto"/>
        </w:rPr>
        <w:t>: Sistema de Innovación de Francia</w:t>
      </w:r>
      <w:bookmarkEnd w:id="253"/>
      <w:bookmarkEnd w:id="254"/>
      <w:bookmarkEnd w:id="255"/>
      <w:bookmarkEnd w:id="256"/>
    </w:p>
    <w:p w14:paraId="7D9B4D63" w14:textId="77777777" w:rsidR="00413AB7" w:rsidRPr="005D10C1" w:rsidRDefault="00413AB7" w:rsidP="005909C6">
      <w:pPr>
        <w:spacing w:line="360" w:lineRule="auto"/>
        <w:ind w:left="708" w:hanging="708"/>
        <w:jc w:val="left"/>
        <w:rPr>
          <w:rFonts w:ascii="Candara" w:hAnsi="Candara"/>
          <w:i/>
        </w:rPr>
      </w:pPr>
    </w:p>
    <w:p w14:paraId="49F4C115" w14:textId="77777777" w:rsidR="00B950B4" w:rsidRPr="005D10C1" w:rsidRDefault="005909C6" w:rsidP="005909C6">
      <w:pPr>
        <w:spacing w:line="360" w:lineRule="auto"/>
        <w:ind w:left="708" w:hanging="708"/>
        <w:jc w:val="left"/>
        <w:rPr>
          <w:rFonts w:ascii="Candara" w:hAnsi="Candara"/>
          <w:i/>
        </w:rPr>
      </w:pPr>
      <w:r w:rsidRPr="005D10C1">
        <w:rPr>
          <w:rFonts w:ascii="Candara" w:hAnsi="Candara"/>
          <w:i/>
        </w:rPr>
        <w:t>Agentes</w:t>
      </w:r>
    </w:p>
    <w:p w14:paraId="4DA00EAE" w14:textId="77777777" w:rsidR="00FB2FA6" w:rsidRPr="005D10C1" w:rsidRDefault="00915733" w:rsidP="005909C6">
      <w:pPr>
        <w:spacing w:line="360" w:lineRule="auto"/>
        <w:rPr>
          <w:rFonts w:ascii="Candara" w:hAnsi="Candara"/>
        </w:rPr>
      </w:pPr>
      <w:r w:rsidRPr="005D10C1">
        <w:rPr>
          <w:rFonts w:ascii="Candara" w:hAnsi="Candara"/>
        </w:rPr>
        <w:t xml:space="preserve">Dentro de los agentes más importantes en el Sistema de Innovación francés </w:t>
      </w:r>
      <w:r w:rsidR="00366F0F" w:rsidRPr="005D10C1">
        <w:rPr>
          <w:rFonts w:ascii="Candara" w:hAnsi="Candara"/>
        </w:rPr>
        <w:t>s</w:t>
      </w:r>
      <w:r w:rsidRPr="005D10C1">
        <w:rPr>
          <w:rFonts w:ascii="Candara" w:hAnsi="Candara"/>
        </w:rPr>
        <w:t>e tienen:</w:t>
      </w:r>
    </w:p>
    <w:p w14:paraId="10601111" w14:textId="77777777" w:rsidR="005909C6" w:rsidRPr="005D10C1" w:rsidRDefault="005909C6" w:rsidP="001B24A9">
      <w:pPr>
        <w:pStyle w:val="Prrafodelista"/>
        <w:numPr>
          <w:ilvl w:val="0"/>
          <w:numId w:val="17"/>
        </w:numPr>
        <w:spacing w:line="360" w:lineRule="auto"/>
        <w:rPr>
          <w:rFonts w:ascii="Candara" w:hAnsi="Candara"/>
        </w:rPr>
      </w:pPr>
      <w:r w:rsidRPr="005D10C1">
        <w:rPr>
          <w:rFonts w:ascii="Candara" w:hAnsi="Candara"/>
        </w:rPr>
        <w:t xml:space="preserve">La </w:t>
      </w:r>
      <w:r w:rsidR="00E04D75" w:rsidRPr="005D10C1">
        <w:rPr>
          <w:rFonts w:ascii="Candara" w:hAnsi="Candara"/>
          <w:i/>
          <w:iCs/>
        </w:rPr>
        <w:t>Agence Nationale de la Recherche</w:t>
      </w:r>
      <w:r w:rsidR="00915733" w:rsidRPr="005D10C1">
        <w:rPr>
          <w:rFonts w:ascii="Candara" w:hAnsi="Candara"/>
          <w:i/>
          <w:iCs/>
        </w:rPr>
        <w:t xml:space="preserve"> </w:t>
      </w:r>
      <w:r w:rsidR="00744D40" w:rsidRPr="005D10C1">
        <w:rPr>
          <w:rFonts w:ascii="Candara" w:hAnsi="Candara"/>
          <w:iCs/>
        </w:rPr>
        <w:t>(</w:t>
      </w:r>
      <w:r w:rsidRPr="005D10C1">
        <w:rPr>
          <w:rFonts w:ascii="Candara" w:hAnsi="Candara"/>
        </w:rPr>
        <w:t>Agencia Nacional de la Investigación</w:t>
      </w:r>
      <w:r w:rsidR="00744D40" w:rsidRPr="005D10C1">
        <w:rPr>
          <w:rFonts w:ascii="Candara" w:hAnsi="Candara"/>
        </w:rPr>
        <w:t>)</w:t>
      </w:r>
      <w:r w:rsidR="00FB2FA6" w:rsidRPr="005D10C1">
        <w:rPr>
          <w:rFonts w:ascii="Candara" w:hAnsi="Candara"/>
          <w:i/>
        </w:rPr>
        <w:t>:</w:t>
      </w:r>
      <w:r w:rsidRPr="005D10C1">
        <w:rPr>
          <w:rFonts w:ascii="Candara" w:hAnsi="Candara"/>
        </w:rPr>
        <w:t xml:space="preserve"> es una entidad que tiene el objetivo de financiar y promover el de</w:t>
      </w:r>
      <w:r w:rsidR="00E04D75" w:rsidRPr="005D10C1">
        <w:rPr>
          <w:rFonts w:ascii="Candara" w:hAnsi="Candara"/>
        </w:rPr>
        <w:t xml:space="preserve">sarrollo de la investigación, </w:t>
      </w:r>
      <w:r w:rsidRPr="005D10C1">
        <w:rPr>
          <w:rFonts w:ascii="Candara" w:hAnsi="Candara"/>
        </w:rPr>
        <w:t>la innovación, la transferencia de tecnología y la colaboración público privada.</w:t>
      </w:r>
      <w:r w:rsidR="00534AFA" w:rsidRPr="005D10C1">
        <w:rPr>
          <w:rFonts w:ascii="Candara" w:hAnsi="Candara"/>
        </w:rPr>
        <w:t xml:space="preserve"> La financiación se realiza mediante convocatorias de proyectos competitivos abiertos a la comunidad científica</w:t>
      </w:r>
      <w:r w:rsidR="009747EB" w:rsidRPr="005D10C1">
        <w:rPr>
          <w:rFonts w:ascii="Candara" w:hAnsi="Candara"/>
        </w:rPr>
        <w:t>.</w:t>
      </w:r>
    </w:p>
    <w:p w14:paraId="507B6336" w14:textId="77777777" w:rsidR="00FB2FA6" w:rsidRPr="005D10C1" w:rsidRDefault="00FB2FA6" w:rsidP="005909C6">
      <w:pPr>
        <w:spacing w:line="360" w:lineRule="auto"/>
        <w:rPr>
          <w:rFonts w:ascii="Candara" w:hAnsi="Candara"/>
          <w:i/>
        </w:rPr>
      </w:pPr>
    </w:p>
    <w:p w14:paraId="2899E4A3" w14:textId="77777777" w:rsidR="009747EB" w:rsidRPr="005D10C1" w:rsidRDefault="000C3ACF" w:rsidP="001B24A9">
      <w:pPr>
        <w:pStyle w:val="Prrafodelista"/>
        <w:numPr>
          <w:ilvl w:val="0"/>
          <w:numId w:val="17"/>
        </w:numPr>
        <w:spacing w:line="360" w:lineRule="auto"/>
        <w:rPr>
          <w:rFonts w:ascii="Candara" w:hAnsi="Candara"/>
        </w:rPr>
      </w:pPr>
      <w:r w:rsidRPr="005D10C1">
        <w:rPr>
          <w:rFonts w:ascii="Candara" w:hAnsi="Candara"/>
          <w:i/>
        </w:rPr>
        <w:lastRenderedPageBreak/>
        <w:t>Centre National de la Recherche Scientifique -</w:t>
      </w:r>
      <w:r w:rsidR="00FB2FA6" w:rsidRPr="005D10C1">
        <w:rPr>
          <w:rFonts w:ascii="Candara" w:hAnsi="Candara"/>
        </w:rPr>
        <w:t>Centro Nacional de Investigación C</w:t>
      </w:r>
      <w:r w:rsidR="009747EB" w:rsidRPr="005D10C1">
        <w:rPr>
          <w:rFonts w:ascii="Candara" w:hAnsi="Candara"/>
        </w:rPr>
        <w:t>ientífica</w:t>
      </w:r>
      <w:r w:rsidRPr="005D10C1">
        <w:rPr>
          <w:rFonts w:ascii="Candara" w:hAnsi="Candara"/>
        </w:rPr>
        <w:t>-</w:t>
      </w:r>
      <w:r w:rsidR="00FB2FA6" w:rsidRPr="005D10C1">
        <w:rPr>
          <w:rFonts w:ascii="Candara" w:hAnsi="Candara"/>
          <w:i/>
        </w:rPr>
        <w:t>:</w:t>
      </w:r>
      <w:r w:rsidR="009747EB" w:rsidRPr="005D10C1">
        <w:rPr>
          <w:rFonts w:ascii="Candara" w:hAnsi="Candara"/>
        </w:rPr>
        <w:t xml:space="preserve"> tiene la finalidad de producir el </w:t>
      </w:r>
      <w:r w:rsidR="00A8799C" w:rsidRPr="005D10C1">
        <w:rPr>
          <w:rFonts w:ascii="Candara" w:hAnsi="Candara"/>
        </w:rPr>
        <w:t>conocimiento</w:t>
      </w:r>
      <w:r w:rsidR="009747EB" w:rsidRPr="005D10C1">
        <w:rPr>
          <w:rFonts w:ascii="Candara" w:hAnsi="Candara"/>
        </w:rPr>
        <w:t xml:space="preserve"> y de su puesta de disposición a la sociedad.</w:t>
      </w:r>
    </w:p>
    <w:p w14:paraId="32E508C6" w14:textId="77777777" w:rsidR="00FB2FA6" w:rsidRPr="005D10C1" w:rsidRDefault="00FB2FA6" w:rsidP="005909C6">
      <w:pPr>
        <w:spacing w:line="360" w:lineRule="auto"/>
        <w:rPr>
          <w:rFonts w:ascii="Candara" w:hAnsi="Candara"/>
        </w:rPr>
      </w:pPr>
    </w:p>
    <w:p w14:paraId="178E5951" w14:textId="77777777" w:rsidR="00276E8C" w:rsidRPr="005D10C1" w:rsidRDefault="00276E8C" w:rsidP="001B24A9">
      <w:pPr>
        <w:pStyle w:val="Prrafodelista"/>
        <w:numPr>
          <w:ilvl w:val="0"/>
          <w:numId w:val="17"/>
        </w:numPr>
        <w:spacing w:line="360" w:lineRule="auto"/>
        <w:rPr>
          <w:rFonts w:ascii="Candara" w:hAnsi="Candara"/>
        </w:rPr>
      </w:pPr>
      <w:r w:rsidRPr="005D10C1">
        <w:rPr>
          <w:rFonts w:ascii="Candara" w:hAnsi="Candara"/>
        </w:rPr>
        <w:t xml:space="preserve">El </w:t>
      </w:r>
      <w:r w:rsidR="00E04D75" w:rsidRPr="005D10C1">
        <w:rPr>
          <w:rFonts w:ascii="Candara" w:hAnsi="Candara"/>
          <w:i/>
        </w:rPr>
        <w:t>Conseil Supérieur De La Recherche Et De La Technologie -</w:t>
      </w:r>
      <w:r w:rsidR="00394ACF" w:rsidRPr="005D10C1">
        <w:rPr>
          <w:rFonts w:ascii="Candara" w:hAnsi="Candara"/>
        </w:rPr>
        <w:t>Consejo Superior de I</w:t>
      </w:r>
      <w:r w:rsidRPr="005D10C1">
        <w:rPr>
          <w:rFonts w:ascii="Candara" w:hAnsi="Candara"/>
        </w:rPr>
        <w:t xml:space="preserve">nvestigación y </w:t>
      </w:r>
      <w:r w:rsidR="00394ACF" w:rsidRPr="005D10C1">
        <w:rPr>
          <w:rFonts w:ascii="Candara" w:hAnsi="Candara"/>
        </w:rPr>
        <w:t>T</w:t>
      </w:r>
      <w:r w:rsidRPr="005D10C1">
        <w:rPr>
          <w:rFonts w:ascii="Candara" w:hAnsi="Candara"/>
        </w:rPr>
        <w:t>ecnología</w:t>
      </w:r>
      <w:r w:rsidR="00E04D75" w:rsidRPr="005D10C1">
        <w:rPr>
          <w:rFonts w:ascii="Candara" w:hAnsi="Candara"/>
        </w:rPr>
        <w:t>-</w:t>
      </w:r>
      <w:r w:rsidR="00394ACF" w:rsidRPr="005D10C1">
        <w:rPr>
          <w:rFonts w:ascii="Candara" w:hAnsi="Candara"/>
          <w:i/>
        </w:rPr>
        <w:t>:</w:t>
      </w:r>
      <w:r w:rsidR="00366F0F" w:rsidRPr="005D10C1">
        <w:rPr>
          <w:rFonts w:ascii="Candara" w:hAnsi="Candara"/>
          <w:i/>
        </w:rPr>
        <w:t xml:space="preserve"> </w:t>
      </w:r>
      <w:r w:rsidRPr="005D10C1">
        <w:rPr>
          <w:rFonts w:ascii="Candara" w:hAnsi="Candara"/>
        </w:rPr>
        <w:t>es un órgano de concertación y diálogo entre los distintos actores y partes implicadas en la actividad investigadora.</w:t>
      </w:r>
    </w:p>
    <w:p w14:paraId="4B05338B" w14:textId="77777777" w:rsidR="000C3ACF" w:rsidRPr="005D10C1" w:rsidRDefault="000C3ACF" w:rsidP="005909C6">
      <w:pPr>
        <w:spacing w:line="360" w:lineRule="auto"/>
        <w:rPr>
          <w:rFonts w:ascii="Candara" w:hAnsi="Candara"/>
        </w:rPr>
      </w:pPr>
    </w:p>
    <w:p w14:paraId="21974167" w14:textId="77777777" w:rsidR="00435AF6" w:rsidRPr="005D10C1" w:rsidRDefault="00E04D75" w:rsidP="001B24A9">
      <w:pPr>
        <w:pStyle w:val="Prrafodelista"/>
        <w:numPr>
          <w:ilvl w:val="0"/>
          <w:numId w:val="17"/>
        </w:numPr>
        <w:spacing w:line="360" w:lineRule="auto"/>
        <w:rPr>
          <w:rFonts w:ascii="Candara" w:hAnsi="Candara"/>
        </w:rPr>
      </w:pPr>
      <w:r w:rsidRPr="005D10C1">
        <w:rPr>
          <w:rFonts w:ascii="Candara" w:hAnsi="Candara"/>
          <w:i/>
        </w:rPr>
        <w:t>Haut Conseil De La Science Et De La Technologie</w:t>
      </w:r>
      <w:r w:rsidR="00BE5AEA" w:rsidRPr="005D10C1">
        <w:rPr>
          <w:rFonts w:ascii="Candara" w:hAnsi="Candara"/>
          <w:i/>
        </w:rPr>
        <w:t xml:space="preserve"> </w:t>
      </w:r>
      <w:r w:rsidR="00471795" w:rsidRPr="005D10C1">
        <w:rPr>
          <w:rFonts w:ascii="Candara" w:hAnsi="Candara"/>
        </w:rPr>
        <w:t>(</w:t>
      </w:r>
      <w:r w:rsidR="007A71E8" w:rsidRPr="005D10C1">
        <w:rPr>
          <w:rFonts w:ascii="Candara" w:hAnsi="Candara"/>
        </w:rPr>
        <w:t>Alto consejo de ciencia y tecnología</w:t>
      </w:r>
      <w:r w:rsidR="00471795" w:rsidRPr="005D10C1">
        <w:rPr>
          <w:rFonts w:ascii="Candara" w:hAnsi="Candara"/>
        </w:rPr>
        <w:t>)</w:t>
      </w:r>
      <w:r w:rsidR="00BE5AEA" w:rsidRPr="005D10C1">
        <w:rPr>
          <w:rFonts w:ascii="Candara" w:hAnsi="Candara"/>
        </w:rPr>
        <w:t xml:space="preserve"> </w:t>
      </w:r>
      <w:r w:rsidR="00471795" w:rsidRPr="005D10C1">
        <w:rPr>
          <w:rFonts w:ascii="Candara" w:hAnsi="Candara"/>
        </w:rPr>
        <w:t>que</w:t>
      </w:r>
      <w:r w:rsidR="007A71E8" w:rsidRPr="005D10C1">
        <w:rPr>
          <w:rFonts w:ascii="Candara" w:hAnsi="Candara"/>
        </w:rPr>
        <w:t xml:space="preserve"> se encarga de asesorar al gobierno sobre el contenido científico de las políticas en el campos prioritarios; analiza desde el punto de vista de dinámica científica las dinámicas sociales, económicas y culturales; y opina sobre los recursos humanos y las infraestructuras necesarias</w:t>
      </w:r>
      <w:r w:rsidR="00435AF6" w:rsidRPr="005D10C1">
        <w:rPr>
          <w:rFonts w:ascii="Candara" w:hAnsi="Candara"/>
        </w:rPr>
        <w:t>.</w:t>
      </w:r>
    </w:p>
    <w:p w14:paraId="42B4C118" w14:textId="77777777" w:rsidR="007A71E8" w:rsidRPr="005D10C1" w:rsidRDefault="007A71E8" w:rsidP="005909C6">
      <w:pPr>
        <w:spacing w:line="360" w:lineRule="auto"/>
        <w:rPr>
          <w:rFonts w:ascii="Candara" w:hAnsi="Candara"/>
        </w:rPr>
      </w:pPr>
    </w:p>
    <w:p w14:paraId="2B6083CC" w14:textId="77777777" w:rsidR="00534AFA" w:rsidRPr="005D10C1" w:rsidRDefault="00047B54" w:rsidP="001B24A9">
      <w:pPr>
        <w:pStyle w:val="Prrafodelista"/>
        <w:numPr>
          <w:ilvl w:val="0"/>
          <w:numId w:val="17"/>
        </w:numPr>
        <w:spacing w:line="360" w:lineRule="auto"/>
        <w:rPr>
          <w:rFonts w:ascii="Candara" w:hAnsi="Candara"/>
        </w:rPr>
      </w:pPr>
      <w:r w:rsidRPr="005D10C1">
        <w:rPr>
          <w:rFonts w:ascii="Candara" w:hAnsi="Candara"/>
          <w:i/>
          <w:lang w:val="fr-FR"/>
        </w:rPr>
        <w:t>Les pôles de Compétitivité</w:t>
      </w:r>
      <w:r w:rsidR="00BE5AEA" w:rsidRPr="005D10C1">
        <w:rPr>
          <w:rFonts w:ascii="Candara" w:hAnsi="Candara"/>
          <w:i/>
          <w:lang w:val="fr-FR"/>
        </w:rPr>
        <w:t xml:space="preserve"> </w:t>
      </w:r>
      <w:r w:rsidR="00740C4A" w:rsidRPr="005D10C1">
        <w:rPr>
          <w:rFonts w:ascii="Candara" w:hAnsi="Candara"/>
          <w:i/>
          <w:lang w:val="fr-FR"/>
        </w:rPr>
        <w:t>-</w:t>
      </w:r>
      <w:r w:rsidR="00534AFA" w:rsidRPr="005D10C1">
        <w:rPr>
          <w:rFonts w:ascii="Candara" w:hAnsi="Candara"/>
          <w:lang w:val="fr-FR"/>
        </w:rPr>
        <w:t>Polos de competitividad</w:t>
      </w:r>
      <w:r w:rsidR="00740C4A" w:rsidRPr="005D10C1">
        <w:rPr>
          <w:rFonts w:ascii="Candara" w:hAnsi="Candara"/>
          <w:lang w:val="fr-FR"/>
        </w:rPr>
        <w:t>-</w:t>
      </w:r>
      <w:r w:rsidR="00BE5AEA" w:rsidRPr="005D10C1">
        <w:rPr>
          <w:rFonts w:ascii="Candara" w:hAnsi="Candara"/>
          <w:lang w:val="fr-FR"/>
        </w:rPr>
        <w:t xml:space="preserve">. </w:t>
      </w:r>
      <w:r w:rsidR="00BE5AEA" w:rsidRPr="005D10C1">
        <w:rPr>
          <w:rFonts w:ascii="Candara" w:hAnsi="Candara"/>
        </w:rPr>
        <w:t>E</w:t>
      </w:r>
      <w:r w:rsidR="00534AFA" w:rsidRPr="005D10C1">
        <w:rPr>
          <w:rFonts w:ascii="Candara" w:hAnsi="Candara"/>
        </w:rPr>
        <w:t>stán conformados por asociaciones de empresas, centros de investigación y organismos de formación, siempre delimitados en un ámbito regional específico, y cuyos proyectos están orientados a crear y aprovechar sinergias entre los agentes participantes</w:t>
      </w:r>
      <w:r w:rsidR="003B0D24" w:rsidRPr="005D10C1">
        <w:rPr>
          <w:rFonts w:ascii="Candara" w:hAnsi="Candara"/>
        </w:rPr>
        <w:fldChar w:fldCharType="begin" w:fldLock="1"/>
      </w:r>
      <w:r w:rsidR="00CA1A09" w:rsidRPr="005D10C1">
        <w:rPr>
          <w:rFonts w:ascii="Candara" w:hAnsi="Candara"/>
        </w:rPr>
        <w:instrText>ADDIN CSL_CITATION { "citationItems" : [ { "id" : "ITEM-1", "itemData" : { "URL" : "http://www.enseignementsup-recherche.gouv.fr/cid56382/organisation-du-systeme-de-recherche-et-d-innovation.html", "abstract" : "La politique fran&amp;ccedil;aise de recherche est conduite par le minist&amp;egrave;re de l'Enseignement sup&amp;eacute;rieur et de la Recherche. Les activit&amp;eacute;s de recherche sont r&amp;eacute;alis&amp;eacute;es soit dans les &amp;eacute;tablissements d'enseignement sup&amp;eacute;rieur ou les organismes de recherche (recherche publique), soit dans les entreprises (recherche priv&amp;eacute;e). Au total, 393 1310 personnes travaillent dans ce secteur dont 232 764 chercheurs.", "accessed" : { "date-parts" : [ [ "2013", "9", "26" ] ] }, "id" : "ITEM-1", "issued" : { "date-parts" : [ [ "2011" ] ] }, "title" : "Organisation du syst\u00e8me de recherche et d'innovation", "type" : "webpage" }, "uris" : [ "http://www.mendeley.com/documents/?uuid=c243ad7d-098e-4738-a83e-fcfea08fe19d" ] } ], "mendeley" : { "previouslyFormattedCitation" : "(\u201cOrganisation du syst\u00e8me de recherche et d\u2019innovation,\u201d 2011)" }, "properties" : { "noteIndex" : 0 }, "schema" : "https://github.com/citation-style-language/schema/raw/master/csl-citation.json" }</w:instrText>
      </w:r>
      <w:r w:rsidR="003B0D24" w:rsidRPr="005D10C1">
        <w:rPr>
          <w:rFonts w:ascii="Candara" w:hAnsi="Candara"/>
        </w:rPr>
        <w:fldChar w:fldCharType="separate"/>
      </w:r>
      <w:r w:rsidR="002774AB" w:rsidRPr="005D10C1">
        <w:rPr>
          <w:rFonts w:ascii="Candara" w:hAnsi="Candara"/>
          <w:noProof/>
        </w:rPr>
        <w:t>(“Organisation du système de recherche et d’innovation,” 2011)</w:t>
      </w:r>
      <w:r w:rsidR="003B0D24" w:rsidRPr="005D10C1">
        <w:rPr>
          <w:rFonts w:ascii="Candara" w:hAnsi="Candara"/>
        </w:rPr>
        <w:fldChar w:fldCharType="end"/>
      </w:r>
      <w:r w:rsidR="00534AFA" w:rsidRPr="005D10C1">
        <w:rPr>
          <w:rFonts w:ascii="Candara" w:hAnsi="Candara"/>
        </w:rPr>
        <w:t>.</w:t>
      </w:r>
    </w:p>
    <w:p w14:paraId="30ACE6ED" w14:textId="77777777" w:rsidR="00895B94" w:rsidRPr="005D10C1" w:rsidRDefault="00895B94">
      <w:pPr>
        <w:spacing w:line="360" w:lineRule="auto"/>
        <w:rPr>
          <w:rFonts w:ascii="Candara" w:hAnsi="Candara"/>
        </w:rPr>
      </w:pPr>
    </w:p>
    <w:p w14:paraId="7423E650" w14:textId="77777777" w:rsidR="007935E6" w:rsidRPr="005D10C1" w:rsidRDefault="007935E6" w:rsidP="007935E6">
      <w:pPr>
        <w:spacing w:line="360" w:lineRule="auto"/>
        <w:rPr>
          <w:rFonts w:ascii="Candara" w:hAnsi="Candara"/>
        </w:rPr>
      </w:pPr>
      <w:r w:rsidRPr="005D10C1">
        <w:rPr>
          <w:rFonts w:ascii="Candara" w:hAnsi="Candara"/>
        </w:rPr>
        <w:t>El gasto de I+D en Francia</w:t>
      </w:r>
      <w:r w:rsidR="00F66898" w:rsidRPr="005D10C1">
        <w:rPr>
          <w:rFonts w:ascii="Candara" w:hAnsi="Candara"/>
        </w:rPr>
        <w:t xml:space="preserve"> se encuentra relacionado en la </w:t>
      </w:r>
      <w:r w:rsidR="00A57352">
        <w:fldChar w:fldCharType="begin"/>
      </w:r>
      <w:r w:rsidR="00A57352">
        <w:instrText xml:space="preserve"> REF _Ref374622298 \h  \* MERGEFORMAT </w:instrText>
      </w:r>
      <w:r w:rsidR="00A57352">
        <w:fldChar w:fldCharType="separate"/>
      </w:r>
      <w:r w:rsidR="005D10C1" w:rsidRPr="005D10C1">
        <w:rPr>
          <w:rFonts w:ascii="Candara" w:hAnsi="Candara"/>
        </w:rPr>
        <w:t>Ilustración 7</w:t>
      </w:r>
      <w:r w:rsidR="00A57352">
        <w:fldChar w:fldCharType="end"/>
      </w:r>
      <w:r w:rsidR="003B0D24" w:rsidRPr="005D10C1">
        <w:rPr>
          <w:rFonts w:ascii="Candara" w:hAnsi="Candara"/>
        </w:rPr>
        <w:fldChar w:fldCharType="begin"/>
      </w:r>
      <w:r w:rsidRPr="005D10C1">
        <w:rPr>
          <w:rFonts w:ascii="Candara" w:hAnsi="Candara"/>
        </w:rPr>
        <w:instrText xml:space="preserve"> REF _Ref372123151 \h  \* MERGEFORMAT </w:instrText>
      </w:r>
      <w:r w:rsidR="003B0D24" w:rsidRPr="005D10C1">
        <w:rPr>
          <w:rFonts w:ascii="Candara" w:hAnsi="Candara"/>
        </w:rPr>
      </w:r>
      <w:r w:rsidR="003B0D24" w:rsidRPr="005D10C1">
        <w:rPr>
          <w:rFonts w:ascii="Candara" w:hAnsi="Candara"/>
        </w:rPr>
        <w:fldChar w:fldCharType="separate"/>
      </w:r>
      <w:r w:rsidR="005D10C1">
        <w:rPr>
          <w:rFonts w:ascii="Candara" w:hAnsi="Candara"/>
          <w:b/>
          <w:bCs/>
          <w:lang w:val="es-ES"/>
        </w:rPr>
        <w:t>¡Error! No se encuentra el origen de la referencia.</w:t>
      </w:r>
      <w:r w:rsidR="003B0D24" w:rsidRPr="005D10C1">
        <w:rPr>
          <w:rFonts w:ascii="Candara" w:hAnsi="Candara"/>
        </w:rPr>
        <w:fldChar w:fldCharType="end"/>
      </w:r>
      <w:r w:rsidRPr="005D10C1">
        <w:rPr>
          <w:rFonts w:ascii="Candara" w:hAnsi="Candara"/>
        </w:rPr>
        <w:t>, éste se expresa como el porcentaje del Producto Interno Bruto que se destina para que el sistema nacional de innovación opere.</w:t>
      </w:r>
      <w:r w:rsidR="00D146E8" w:rsidRPr="005D10C1">
        <w:rPr>
          <w:rFonts w:ascii="Candara" w:hAnsi="Candara"/>
        </w:rPr>
        <w:t xml:space="preserve"> En los años mostrados en esta gráfica se evidencia que </w:t>
      </w:r>
      <w:r w:rsidR="006D074C" w:rsidRPr="005D10C1">
        <w:rPr>
          <w:rFonts w:ascii="Candara" w:hAnsi="Candara"/>
        </w:rPr>
        <w:t>el</w:t>
      </w:r>
      <w:r w:rsidR="00D146E8" w:rsidRPr="005D10C1">
        <w:rPr>
          <w:rFonts w:ascii="Candara" w:hAnsi="Candara"/>
        </w:rPr>
        <w:t xml:space="preserve"> gasto </w:t>
      </w:r>
      <w:r w:rsidR="006D074C" w:rsidRPr="005D10C1">
        <w:rPr>
          <w:rFonts w:ascii="Candara" w:hAnsi="Candara"/>
        </w:rPr>
        <w:t xml:space="preserve">de I+D </w:t>
      </w:r>
      <w:r w:rsidR="00D146E8" w:rsidRPr="005D10C1">
        <w:rPr>
          <w:rFonts w:ascii="Candara" w:hAnsi="Candara"/>
        </w:rPr>
        <w:t xml:space="preserve">se ha mantenido sobre el 2% del PIB, siendo para 2011 de </w:t>
      </w:r>
      <w:r w:rsidR="00ED734C" w:rsidRPr="005D10C1">
        <w:rPr>
          <w:rFonts w:ascii="Candara" w:hAnsi="Candara"/>
        </w:rPr>
        <w:t>2,</w:t>
      </w:r>
      <w:r w:rsidR="006D074C" w:rsidRPr="005D10C1">
        <w:rPr>
          <w:rFonts w:ascii="Candara" w:hAnsi="Candara"/>
        </w:rPr>
        <w:t>25</w:t>
      </w:r>
      <w:r w:rsidR="00D146E8" w:rsidRPr="005D10C1">
        <w:rPr>
          <w:rFonts w:ascii="Candara" w:hAnsi="Candara"/>
        </w:rPr>
        <w:t xml:space="preserve">%, lo cual equivale a </w:t>
      </w:r>
      <w:r w:rsidR="00ED734C" w:rsidRPr="005D10C1">
        <w:rPr>
          <w:rFonts w:ascii="Candara" w:hAnsi="Candara"/>
        </w:rPr>
        <w:t>US$6</w:t>
      </w:r>
      <w:r w:rsidR="00BD35CB" w:rsidRPr="005D10C1">
        <w:rPr>
          <w:rFonts w:ascii="Candara" w:hAnsi="Candara"/>
        </w:rPr>
        <w:t>2.543</w:t>
      </w:r>
      <w:r w:rsidR="00D146E8" w:rsidRPr="005D10C1">
        <w:rPr>
          <w:rFonts w:ascii="Candara" w:hAnsi="Candara"/>
        </w:rPr>
        <w:t xml:space="preserve"> </w:t>
      </w:r>
      <w:r w:rsidR="00BD35CB" w:rsidRPr="005D10C1">
        <w:rPr>
          <w:rFonts w:ascii="Candara" w:hAnsi="Candara"/>
        </w:rPr>
        <w:t>m</w:t>
      </w:r>
      <w:r w:rsidR="00ED734C" w:rsidRPr="005D10C1">
        <w:rPr>
          <w:rFonts w:ascii="Candara" w:hAnsi="Candara"/>
        </w:rPr>
        <w:t>illones</w:t>
      </w:r>
      <w:r w:rsidR="00AC4143" w:rsidRPr="005D10C1">
        <w:rPr>
          <w:rFonts w:ascii="Candara" w:hAnsi="Candara"/>
        </w:rPr>
        <w:t xml:space="preserve"> </w:t>
      </w:r>
      <w:r w:rsidR="003B0D24" w:rsidRPr="005D10C1">
        <w:rPr>
          <w:rFonts w:ascii="Candara" w:hAnsi="Candara" w:cstheme="minorHAnsi"/>
        </w:rPr>
        <w:fldChar w:fldCharType="begin" w:fldLock="1"/>
      </w:r>
      <w:r w:rsidR="00CA1A09" w:rsidRPr="005D10C1">
        <w:rPr>
          <w:rFonts w:ascii="Candara" w:hAnsi="Candara" w:cstheme="minorHAnsi"/>
        </w:rPr>
        <w:instrText>ADDIN CSL_CITATION { "citationItems" : [ { "id" : "ITEM-1", "itemData" : { "DOI" : "10.1787/2075843x-table1", "URL" : "http://www.oecd-ilibrary.org/science-and-technology/gross-domestic-expenditure-on-r-d_2075843x-table1", "author" : [ { "dropping-particle" : "", "family" : "OECD", "given" : "", "non-dropping-particle" : "", "parse-names" : false, "suffix" : "" } ], "container-title" : "Science and Technology", "id" : "ITEM-1", "issued" : { "date-parts" : [ [ "2013" ] ] }, "title" : "Gross domestic expenditure on R&amp;D - Science and Technology: Key Tables from OECD, No. 1", "type" : "webpage" }, "uris" : [ "http://www.mendeley.com/documents/?uuid=65f9daf4-118b-4062-ab5a-ab4e62e6bd9a" ] } ], "mendeley" : { "previouslyFormattedCitation" : "(OECD, 2013)" }, "properties" : { "noteIndex" : 0 }, "schema" : "https://github.com/citation-style-language/schema/raw/master/csl-citation.json" }</w:instrText>
      </w:r>
      <w:r w:rsidR="003B0D24" w:rsidRPr="005D10C1">
        <w:rPr>
          <w:rFonts w:ascii="Candara" w:hAnsi="Candara" w:cstheme="minorHAnsi"/>
        </w:rPr>
        <w:fldChar w:fldCharType="separate"/>
      </w:r>
      <w:r w:rsidR="00AC4143" w:rsidRPr="005D10C1">
        <w:rPr>
          <w:rFonts w:ascii="Candara" w:hAnsi="Candara" w:cstheme="minorHAnsi"/>
          <w:noProof/>
        </w:rPr>
        <w:t>(OECD, 2013)</w:t>
      </w:r>
      <w:r w:rsidR="003B0D24" w:rsidRPr="005D10C1">
        <w:rPr>
          <w:rFonts w:ascii="Candara" w:hAnsi="Candara" w:cstheme="minorHAnsi"/>
        </w:rPr>
        <w:fldChar w:fldCharType="end"/>
      </w:r>
      <w:r w:rsidR="00ED734C" w:rsidRPr="005D10C1">
        <w:rPr>
          <w:rFonts w:ascii="Candara" w:hAnsi="Candara"/>
        </w:rPr>
        <w:t>.</w:t>
      </w:r>
    </w:p>
    <w:p w14:paraId="20479190" w14:textId="77777777" w:rsidR="007935E6" w:rsidRPr="005D10C1" w:rsidRDefault="007935E6">
      <w:pPr>
        <w:spacing w:line="360" w:lineRule="auto"/>
        <w:rPr>
          <w:rFonts w:ascii="Candara" w:hAnsi="Candara"/>
        </w:rPr>
      </w:pPr>
    </w:p>
    <w:p w14:paraId="74A7F695" w14:textId="77777777" w:rsidR="00E724C6" w:rsidRPr="005D10C1" w:rsidRDefault="006B39D2" w:rsidP="00E724C6">
      <w:pPr>
        <w:keepNext/>
        <w:spacing w:line="360" w:lineRule="auto"/>
        <w:jc w:val="center"/>
        <w:rPr>
          <w:rFonts w:ascii="Candara" w:hAnsi="Candara"/>
        </w:rPr>
      </w:pPr>
      <w:r w:rsidRPr="005D10C1">
        <w:rPr>
          <w:rFonts w:ascii="Candara" w:hAnsi="Candara"/>
          <w:noProof/>
          <w:lang w:eastAsia="es-CO"/>
        </w:rPr>
        <w:lastRenderedPageBreak/>
        <w:drawing>
          <wp:inline distT="0" distB="0" distL="0" distR="0" wp14:anchorId="0AC2A6DD" wp14:editId="6888271A">
            <wp:extent cx="4572000" cy="2743200"/>
            <wp:effectExtent l="0" t="0" r="0" b="0"/>
            <wp:docPr id="11" name="Gráfico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6AABB7F3" w14:textId="77777777" w:rsidR="00E724C6" w:rsidRPr="005D10C1" w:rsidRDefault="00F66898" w:rsidP="00F66898">
      <w:pPr>
        <w:pStyle w:val="Descripcin"/>
        <w:rPr>
          <w:rFonts w:ascii="Candara" w:hAnsi="Candara" w:cstheme="minorHAnsi"/>
          <w:b w:val="0"/>
          <w:color w:val="auto"/>
          <w:sz w:val="20"/>
        </w:rPr>
      </w:pPr>
      <w:bookmarkStart w:id="257" w:name="_Ref374622298"/>
      <w:bookmarkStart w:id="258" w:name="_Ref372123597"/>
      <w:bookmarkStart w:id="259" w:name="_Toc374621197"/>
      <w:bookmarkStart w:id="260" w:name="_Toc377652598"/>
      <w:r w:rsidRPr="005D10C1">
        <w:rPr>
          <w:rFonts w:ascii="Candara" w:hAnsi="Candara" w:cstheme="minorHAnsi"/>
          <w:b w:val="0"/>
          <w:color w:val="auto"/>
          <w:sz w:val="20"/>
        </w:rPr>
        <w:t xml:space="preserve">Ilustración </w:t>
      </w:r>
      <w:r w:rsidR="003B0D24" w:rsidRPr="005D10C1">
        <w:rPr>
          <w:rFonts w:ascii="Candara" w:hAnsi="Candara" w:cstheme="minorHAnsi"/>
          <w:b w:val="0"/>
          <w:color w:val="auto"/>
          <w:sz w:val="20"/>
        </w:rPr>
        <w:fldChar w:fldCharType="begin"/>
      </w:r>
      <w:r w:rsidRPr="005D10C1">
        <w:rPr>
          <w:rFonts w:ascii="Candara" w:hAnsi="Candara" w:cstheme="minorHAnsi"/>
          <w:b w:val="0"/>
          <w:color w:val="auto"/>
          <w:sz w:val="20"/>
        </w:rPr>
        <w:instrText xml:space="preserve"> SEQ Ilustración \* ARABIC </w:instrText>
      </w:r>
      <w:r w:rsidR="003B0D24" w:rsidRPr="005D10C1">
        <w:rPr>
          <w:rFonts w:ascii="Candara" w:hAnsi="Candara" w:cstheme="minorHAnsi"/>
          <w:b w:val="0"/>
          <w:color w:val="auto"/>
          <w:sz w:val="20"/>
        </w:rPr>
        <w:fldChar w:fldCharType="separate"/>
      </w:r>
      <w:r w:rsidR="005D10C1">
        <w:rPr>
          <w:rFonts w:ascii="Candara" w:hAnsi="Candara" w:cstheme="minorHAnsi"/>
          <w:b w:val="0"/>
          <w:noProof/>
          <w:color w:val="auto"/>
          <w:sz w:val="20"/>
        </w:rPr>
        <w:t>7</w:t>
      </w:r>
      <w:r w:rsidR="003B0D24" w:rsidRPr="005D10C1">
        <w:rPr>
          <w:rFonts w:ascii="Candara" w:hAnsi="Candara" w:cstheme="minorHAnsi"/>
          <w:b w:val="0"/>
          <w:color w:val="auto"/>
          <w:sz w:val="20"/>
        </w:rPr>
        <w:fldChar w:fldCharType="end"/>
      </w:r>
      <w:bookmarkEnd w:id="257"/>
      <w:r w:rsidRPr="005D10C1">
        <w:rPr>
          <w:rFonts w:ascii="Candara" w:hAnsi="Candara" w:cstheme="minorHAnsi"/>
          <w:b w:val="0"/>
          <w:color w:val="auto"/>
          <w:sz w:val="20"/>
        </w:rPr>
        <w:t>: Gasto de I+D en Francia</w:t>
      </w:r>
      <w:bookmarkEnd w:id="258"/>
      <w:bookmarkEnd w:id="259"/>
      <w:bookmarkEnd w:id="260"/>
    </w:p>
    <w:p w14:paraId="58BCCF00" w14:textId="77777777" w:rsidR="00F66898" w:rsidRPr="005D10C1" w:rsidRDefault="00F66898" w:rsidP="00F66898">
      <w:pPr>
        <w:rPr>
          <w:rFonts w:ascii="Candara" w:hAnsi="Candara"/>
        </w:rPr>
      </w:pPr>
    </w:p>
    <w:p w14:paraId="5E5E1827" w14:textId="77777777" w:rsidR="00895B94" w:rsidRPr="005D10C1" w:rsidRDefault="008B4C7D" w:rsidP="00895B94">
      <w:pPr>
        <w:pStyle w:val="Ttulo3"/>
        <w:rPr>
          <w:rFonts w:ascii="Candara" w:hAnsi="Candara"/>
          <w:color w:val="auto"/>
        </w:rPr>
      </w:pPr>
      <w:bookmarkStart w:id="261" w:name="_Toc377653151"/>
      <w:r w:rsidRPr="005D10C1">
        <w:rPr>
          <w:rFonts w:ascii="Candara" w:hAnsi="Candara"/>
          <w:color w:val="auto"/>
        </w:rPr>
        <w:t xml:space="preserve">Políticas y </w:t>
      </w:r>
      <w:r w:rsidR="004052DC" w:rsidRPr="005D10C1">
        <w:rPr>
          <w:rFonts w:ascii="Candara" w:hAnsi="Candara"/>
          <w:color w:val="auto"/>
        </w:rPr>
        <w:t>normas asociadas</w:t>
      </w:r>
      <w:r w:rsidRPr="005D10C1">
        <w:rPr>
          <w:rFonts w:ascii="Candara" w:hAnsi="Candara"/>
          <w:color w:val="auto"/>
        </w:rPr>
        <w:t xml:space="preserve"> a la creación de spin-off</w:t>
      </w:r>
      <w:bookmarkEnd w:id="261"/>
    </w:p>
    <w:p w14:paraId="5AD1723F" w14:textId="77777777" w:rsidR="00895B94" w:rsidRPr="005D10C1" w:rsidRDefault="00895B94">
      <w:pPr>
        <w:spacing w:line="360" w:lineRule="auto"/>
        <w:rPr>
          <w:rFonts w:ascii="Candara" w:hAnsi="Candara"/>
        </w:rPr>
      </w:pPr>
    </w:p>
    <w:p w14:paraId="3018D22D" w14:textId="77777777" w:rsidR="00E235C5" w:rsidRPr="005D10C1" w:rsidRDefault="00E235C5">
      <w:pPr>
        <w:spacing w:line="360" w:lineRule="auto"/>
        <w:rPr>
          <w:rFonts w:ascii="Candara" w:hAnsi="Candara"/>
          <w:i/>
        </w:rPr>
      </w:pPr>
      <w:r w:rsidRPr="005D10C1">
        <w:rPr>
          <w:rFonts w:ascii="Candara" w:hAnsi="Candara"/>
          <w:i/>
        </w:rPr>
        <w:t>Leyes</w:t>
      </w:r>
    </w:p>
    <w:p w14:paraId="4343C26B" w14:textId="77777777" w:rsidR="00444FEF" w:rsidRPr="005D10C1" w:rsidRDefault="00444FEF">
      <w:pPr>
        <w:spacing w:line="360" w:lineRule="auto"/>
        <w:rPr>
          <w:rFonts w:ascii="Candara" w:hAnsi="Candara"/>
        </w:rPr>
      </w:pPr>
      <w:r w:rsidRPr="005D10C1">
        <w:rPr>
          <w:rFonts w:ascii="Candara" w:hAnsi="Candara"/>
        </w:rPr>
        <w:t xml:space="preserve">En Francia, la </w:t>
      </w:r>
      <w:r w:rsidR="007A5001" w:rsidRPr="005D10C1">
        <w:rPr>
          <w:rFonts w:ascii="Candara" w:hAnsi="Candara"/>
        </w:rPr>
        <w:t>generació</w:t>
      </w:r>
      <w:r w:rsidR="00EE5814" w:rsidRPr="005D10C1">
        <w:rPr>
          <w:rFonts w:ascii="Candara" w:hAnsi="Candara"/>
        </w:rPr>
        <w:t xml:space="preserve">n de </w:t>
      </w:r>
      <w:r w:rsidR="00EE5814" w:rsidRPr="005D10C1">
        <w:rPr>
          <w:rFonts w:ascii="Candara" w:hAnsi="Candara"/>
          <w:i/>
        </w:rPr>
        <w:t>spin-offs</w:t>
      </w:r>
      <w:r w:rsidR="00EE5814" w:rsidRPr="005D10C1">
        <w:rPr>
          <w:rFonts w:ascii="Candara" w:hAnsi="Candara"/>
        </w:rPr>
        <w:t xml:space="preserve"> ha sido promovida a través de la implementación de </w:t>
      </w:r>
      <w:r w:rsidR="007A5001" w:rsidRPr="005D10C1">
        <w:rPr>
          <w:rFonts w:ascii="Candara" w:hAnsi="Candara"/>
        </w:rPr>
        <w:t>políticas</w:t>
      </w:r>
      <w:r w:rsidR="00D15D06" w:rsidRPr="005D10C1">
        <w:rPr>
          <w:rFonts w:ascii="Candara" w:hAnsi="Candara"/>
        </w:rPr>
        <w:t xml:space="preserve"> de emprendimiento tecnológico </w:t>
      </w:r>
      <w:r w:rsidR="003B0D24" w:rsidRPr="005D10C1">
        <w:rPr>
          <w:rFonts w:ascii="Candara" w:hAnsi="Candara"/>
        </w:rPr>
        <w:fldChar w:fldCharType="begin" w:fldLock="1"/>
      </w:r>
      <w:r w:rsidR="00CA1A09" w:rsidRPr="005D10C1">
        <w:rPr>
          <w:rFonts w:ascii="Candara" w:hAnsi="Candara"/>
        </w:rPr>
        <w:instrText>ADDIN CSL_CITATION { "citationItems" : [ { "id" : "ITEM-1", "itemData" : { "DOI" : "10.1007/s10961-009-9113-7", "ISBN" : "1096100991", "ISSN" : "0892-9912", "author" : [ { "dropping-particle" : "", "family" : "Mustar", "given" : "P", "non-dropping-particle" : "", "parse-names" : false, "suffix" : "" }, { "dropping-particle" : "", "family" : "Wright", "given" : "M", "non-dropping-particle" : "", "parse-names" : false, "suffix" : "" } ], "container-title" : "The Journal of Technology Transfer", "id" : "ITEM-1", "issue" : "1", "issued" : { "date-parts" : [ [ "2009", "3", "10" ] ] }, "page" : "42-65", "title" : "Convergence or path dependency in policies to foster the creation of university spin-off firms? A comparison of France and the United Kingdom", "type" : "article-journal", "volume" : "35" }, "uris" : [ "http://www.mendeley.com/documents/?uuid=e499b193-412d-4416-b804-a2649cc58f22" ] } ], "mendeley" : { "previouslyFormattedCitation" : "(Mustar &amp; Wright, 2009)" }, "properties" : { "noteIndex" : 0 }, "schema" : "https://github.com/citation-style-language/schema/raw/master/csl-citation.json" }</w:instrText>
      </w:r>
      <w:r w:rsidR="003B0D24" w:rsidRPr="005D10C1">
        <w:rPr>
          <w:rFonts w:ascii="Candara" w:hAnsi="Candara"/>
        </w:rPr>
        <w:fldChar w:fldCharType="separate"/>
      </w:r>
      <w:r w:rsidR="004C5950" w:rsidRPr="005D10C1">
        <w:rPr>
          <w:rFonts w:ascii="Candara" w:hAnsi="Candara"/>
          <w:noProof/>
        </w:rPr>
        <w:t>(Mustar &amp; Wright, 2009)</w:t>
      </w:r>
      <w:r w:rsidR="003B0D24" w:rsidRPr="005D10C1">
        <w:rPr>
          <w:rFonts w:ascii="Candara" w:hAnsi="Candara"/>
        </w:rPr>
        <w:fldChar w:fldCharType="end"/>
      </w:r>
      <w:r w:rsidRPr="005D10C1">
        <w:rPr>
          <w:rFonts w:ascii="Candara" w:hAnsi="Candara"/>
        </w:rPr>
        <w:t xml:space="preserve">. </w:t>
      </w:r>
    </w:p>
    <w:p w14:paraId="198653F2" w14:textId="77777777" w:rsidR="003D47A3" w:rsidRPr="005D10C1" w:rsidRDefault="003D47A3" w:rsidP="006B0B4F">
      <w:pPr>
        <w:spacing w:line="360" w:lineRule="auto"/>
        <w:rPr>
          <w:rFonts w:ascii="Candara" w:hAnsi="Candara"/>
        </w:rPr>
      </w:pPr>
    </w:p>
    <w:p w14:paraId="514F32EB" w14:textId="77777777" w:rsidR="003D47A3" w:rsidRPr="005D10C1" w:rsidRDefault="003D47A3" w:rsidP="006B0B4F">
      <w:pPr>
        <w:spacing w:line="360" w:lineRule="auto"/>
        <w:rPr>
          <w:rFonts w:ascii="Candara" w:hAnsi="Candara"/>
        </w:rPr>
      </w:pPr>
      <w:r w:rsidRPr="005D10C1">
        <w:rPr>
          <w:rFonts w:ascii="Candara" w:hAnsi="Candara"/>
        </w:rPr>
        <w:t xml:space="preserve">Las políticas para </w:t>
      </w:r>
      <w:r w:rsidR="007A5001" w:rsidRPr="005D10C1">
        <w:rPr>
          <w:rFonts w:ascii="Candara" w:hAnsi="Candara"/>
        </w:rPr>
        <w:t xml:space="preserve">la promoción </w:t>
      </w:r>
      <w:r w:rsidR="007E0D07" w:rsidRPr="005D10C1">
        <w:rPr>
          <w:rFonts w:ascii="Candara" w:hAnsi="Candara"/>
        </w:rPr>
        <w:t xml:space="preserve">de </w:t>
      </w:r>
      <w:r w:rsidR="007E0D07" w:rsidRPr="005D10C1">
        <w:rPr>
          <w:rFonts w:ascii="Candara" w:hAnsi="Candara"/>
          <w:i/>
        </w:rPr>
        <w:t>spin</w:t>
      </w:r>
      <w:r w:rsidR="007A5001" w:rsidRPr="005D10C1">
        <w:rPr>
          <w:rFonts w:ascii="Candara" w:hAnsi="Candara"/>
          <w:i/>
        </w:rPr>
        <w:t>-off</w:t>
      </w:r>
      <w:r w:rsidR="00445B40" w:rsidRPr="005D10C1">
        <w:rPr>
          <w:rFonts w:ascii="Candara" w:hAnsi="Candara"/>
          <w:i/>
        </w:rPr>
        <w:t xml:space="preserve"> </w:t>
      </w:r>
      <w:r w:rsidRPr="005D10C1">
        <w:rPr>
          <w:rFonts w:ascii="Candara" w:hAnsi="Candara"/>
        </w:rPr>
        <w:t>universitarias fueron introducidas en el contexto de grandes transformaciones del panorama de investigación y políticas de innovación. Una característica común de muchos países e</w:t>
      </w:r>
      <w:r w:rsidR="00987EB1" w:rsidRPr="005D10C1">
        <w:rPr>
          <w:rFonts w:ascii="Candara" w:hAnsi="Candara"/>
        </w:rPr>
        <w:t>uropeos fue la eliminación de los programas de</w:t>
      </w:r>
      <w:r w:rsidRPr="005D10C1">
        <w:rPr>
          <w:rFonts w:ascii="Candara" w:hAnsi="Candara"/>
        </w:rPr>
        <w:t xml:space="preserve"> ayuda para las grandes empresas </w:t>
      </w:r>
      <w:r w:rsidR="00987EB1" w:rsidRPr="005D10C1">
        <w:rPr>
          <w:rFonts w:ascii="Candara" w:hAnsi="Candara"/>
        </w:rPr>
        <w:t xml:space="preserve">y una reorientación de las políticas y los recursos hacia el desarrollo de las </w:t>
      </w:r>
      <w:r w:rsidRPr="005D10C1">
        <w:rPr>
          <w:rFonts w:ascii="Candara" w:hAnsi="Candara"/>
        </w:rPr>
        <w:t>PYME y sus capacidades de innovación. Francia fue emblemática de este cambio.</w:t>
      </w:r>
    </w:p>
    <w:p w14:paraId="66615090" w14:textId="77777777" w:rsidR="006A307B" w:rsidRPr="005D10C1" w:rsidRDefault="006A307B" w:rsidP="006B0B4F">
      <w:pPr>
        <w:spacing w:line="360" w:lineRule="auto"/>
        <w:rPr>
          <w:rFonts w:ascii="Candara" w:hAnsi="Candara"/>
        </w:rPr>
      </w:pPr>
    </w:p>
    <w:p w14:paraId="3E5C936E" w14:textId="77777777" w:rsidR="00F576CB" w:rsidRPr="005D10C1" w:rsidRDefault="0002525F" w:rsidP="006B0B4F">
      <w:pPr>
        <w:spacing w:line="360" w:lineRule="auto"/>
        <w:rPr>
          <w:rFonts w:ascii="Candara" w:hAnsi="Candara"/>
        </w:rPr>
      </w:pPr>
      <w:r w:rsidRPr="005D10C1">
        <w:rPr>
          <w:rFonts w:ascii="Candara" w:hAnsi="Candara"/>
        </w:rPr>
        <w:t xml:space="preserve">En 1999 es presentada la </w:t>
      </w:r>
      <w:r w:rsidR="003F6CD5" w:rsidRPr="005D10C1">
        <w:rPr>
          <w:rFonts w:ascii="Candara" w:hAnsi="Candara"/>
          <w:i/>
        </w:rPr>
        <w:t>Loi pour l’innovation et la Recherche -</w:t>
      </w:r>
      <w:r w:rsidRPr="005D10C1">
        <w:rPr>
          <w:rFonts w:ascii="Candara" w:hAnsi="Candara"/>
        </w:rPr>
        <w:t>Ley de Innovación e investigación</w:t>
      </w:r>
      <w:r w:rsidR="003F6CD5" w:rsidRPr="005D10C1">
        <w:rPr>
          <w:rFonts w:ascii="Candara" w:hAnsi="Candara"/>
        </w:rPr>
        <w:t>-</w:t>
      </w:r>
      <w:r w:rsidRPr="005D10C1">
        <w:rPr>
          <w:rFonts w:ascii="Candara" w:hAnsi="Candara"/>
        </w:rPr>
        <w:t xml:space="preserve"> para promover la creación de compañías tecnológicas innovadoras que </w:t>
      </w:r>
      <w:r w:rsidRPr="005D10C1">
        <w:rPr>
          <w:rFonts w:ascii="Candara" w:hAnsi="Candara"/>
        </w:rPr>
        <w:lastRenderedPageBreak/>
        <w:t xml:space="preserve">fomentó la creación de las </w:t>
      </w:r>
      <w:r w:rsidRPr="005D10C1">
        <w:rPr>
          <w:rFonts w:ascii="Candara" w:hAnsi="Candara"/>
          <w:i/>
        </w:rPr>
        <w:t>spin-offs</w:t>
      </w:r>
      <w:r w:rsidRPr="005D10C1">
        <w:rPr>
          <w:rFonts w:ascii="Candara" w:hAnsi="Candara"/>
        </w:rPr>
        <w:t xml:space="preserve">. </w:t>
      </w:r>
      <w:r w:rsidR="00F576CB" w:rsidRPr="005D10C1">
        <w:rPr>
          <w:rFonts w:ascii="Candara" w:hAnsi="Candara"/>
        </w:rPr>
        <w:t>Dicha ley ha sido una de las iniciativas legislativas más importantes del país</w:t>
      </w:r>
      <w:r w:rsidR="00C707AD" w:rsidRPr="005D10C1">
        <w:rPr>
          <w:rFonts w:ascii="Candara" w:hAnsi="Candara"/>
        </w:rPr>
        <w:t xml:space="preserve"> </w:t>
      </w:r>
      <w:r w:rsidR="003B0D24" w:rsidRPr="005D10C1">
        <w:rPr>
          <w:rFonts w:ascii="Candara" w:hAnsi="Candara"/>
        </w:rPr>
        <w:fldChar w:fldCharType="begin" w:fldLock="1"/>
      </w:r>
      <w:r w:rsidR="00CA1A09" w:rsidRPr="005D10C1">
        <w:rPr>
          <w:rFonts w:ascii="Candara" w:hAnsi="Candara"/>
        </w:rPr>
        <w:instrText>ADDIN CSL_CITATION { "citationItems" : [ { "id" : "ITEM-1", "itemData" : { "ISBN" : "8473568044", "abstract" : "En menos de dos d\u00e9cadas nuestros modos de vida han cambiado sustancialmente, en parte gracias a que ahora las innovaciones entran por la puerta de nuestras casas natural y cotidianamente. Hemos interiorizado el uso de la tecnolog\u00eda de tal forma que ahora nos costar\u00eda mucho trabajo adaptarnos al modo de vida familiar o productivo que ten\u00edamos a principios de la d\u00e9cada de los noventa. Pero todav\u00eda nos queda un largo camino por recorrer. Un buen comienzo es conocer c\u00f3mo funcionan los Sistemas de Innovaci\u00f3n en Europa. \u00abEste libro ser\u00e1 de enorme utilidad para todos aquellos que quieran conocer el escenario en el que tiene lugar la innovaci\u00f3n en Espa\u00f1a y en otros doce pa\u00edses europeos. La inteligente decisi\u00f3n de acompa\u00f1ar el an\u00e1lisis del Sistema de Innovaci\u00f3n de cada pa\u00eds con estudios de caso ilustrativos, contribuye a dar una mayor comprensi\u00f3n del funcionamiento y de los logros alcanzados en cada uno de ellos. Lo recomiendo ampliamente para acad\u00e9micos, pol\u00edticos, gente de negocios y para todo aquel que se interese por el futuro de la innovaci\u00f3n en Europa.\u00bb Carlota P\u00e9rez, Catedr\u00e1tica de Tecnolog\u00eda y Desarrollo, Universidad Tecnol\u00f3gica de Tallin. Profesora honor\u00edfica de SPRU, Universidad de Sussex. \u00abSi verdaderamente Europa est\u00e1 dispuesta a alcanzar los objetivos planteados en la estrategia de Lisboa para situarla a la cabeza en materia de la Sociedad de la Informaci\u00f3n y el Conocimiento, es necesario tomar en consideraci\u00f3n las ense\u00f1anzas que se derivan del presente libro.\u00bb Petra Hegemann Catedr\u00e1tica de Econom\u00eda Aplicada, Universidad Libre de Berl\u00edn. \u00cdndice: El Sistema de Innovaci\u00f3n de Espa\u00f1a.- El Sistema de Innovaci\u00f3n de Alemania.- El Sistema de Innovaci\u00f3n de Austria.- El Sistema de Innovaci\u00f3n de B\u00e9lgica.- El Sistema de Innovaci\u00f3n de Francia.- El Sistema de Innovaci\u00f3n de Irlanda.- El Sistema de Innovaci\u00f3n de Italia.- El Sistema de Innovaci\u00f3n de los Pa\u00edses Bajos.- El Sistema de Innovaci\u00f3n de Portugal.- El Sistema de Innovaci\u00f3n del Reino Unido.- El Sistema de Innovaci\u00f3n de Suecia y Finlandia.- El Sistema de Innovaci\u00f3n de Suiza.- Luces y sombras de los Sistemas de Innovaci\u00f3n en Europa: balance y perspectivas de futuro.", "author" : [ { "dropping-particle" : "", "family" : "Berumen", "given" : "Sergio A.", "non-dropping-particle" : "", "parse-names" : false, "suffix" : "" } ], "id" : "ITEM-1", "issued" : { "date-parts" : [ [ "2011" ] ] }, "page" : "398", "publisher" : "ESIC Editorial", "publisher-place" : "Pozuelo de Alarc\u00f3n (Madrid)", "title" : "Los sistemas de innovaci\u00f3n en Europa", "type" : "book" }, "uris" : [ "http://www.mendeley.com/documents/?uuid=89742ae0-9b33-4054-a34b-4f45f672b394" ] } ], "mendeley" : { "previouslyFormattedCitation" : "(Berumen, 2011)" }, "properties" : { "noteIndex" : 0 }, "schema" : "https://github.com/citation-style-language/schema/raw/master/csl-citation.json" }</w:instrText>
      </w:r>
      <w:r w:rsidR="003B0D24" w:rsidRPr="005D10C1">
        <w:rPr>
          <w:rFonts w:ascii="Candara" w:hAnsi="Candara"/>
        </w:rPr>
        <w:fldChar w:fldCharType="separate"/>
      </w:r>
      <w:r w:rsidR="00F576CB" w:rsidRPr="005D10C1">
        <w:rPr>
          <w:rFonts w:ascii="Candara" w:hAnsi="Candara"/>
          <w:noProof/>
        </w:rPr>
        <w:t>(Berumen, 2011)</w:t>
      </w:r>
      <w:r w:rsidR="003B0D24" w:rsidRPr="005D10C1">
        <w:rPr>
          <w:rFonts w:ascii="Candara" w:hAnsi="Candara"/>
        </w:rPr>
        <w:fldChar w:fldCharType="end"/>
      </w:r>
      <w:r w:rsidR="00F576CB" w:rsidRPr="005D10C1">
        <w:rPr>
          <w:rFonts w:ascii="Candara" w:hAnsi="Candara"/>
        </w:rPr>
        <w:t>. Los 3 grandes objetivos</w:t>
      </w:r>
      <w:r w:rsidR="00445B40" w:rsidRPr="005D10C1">
        <w:rPr>
          <w:rFonts w:ascii="Candara" w:hAnsi="Candara"/>
        </w:rPr>
        <w:t xml:space="preserve"> de </w:t>
      </w:r>
      <w:r w:rsidR="00C707AD" w:rsidRPr="005D10C1">
        <w:rPr>
          <w:rFonts w:ascii="Candara" w:hAnsi="Candara"/>
        </w:rPr>
        <w:t>é</w:t>
      </w:r>
      <w:r w:rsidR="00445B40" w:rsidRPr="005D10C1">
        <w:rPr>
          <w:rFonts w:ascii="Candara" w:hAnsi="Candara"/>
        </w:rPr>
        <w:t xml:space="preserve">sta </w:t>
      </w:r>
      <w:r w:rsidR="00F576CB" w:rsidRPr="005D10C1">
        <w:rPr>
          <w:rFonts w:ascii="Candara" w:hAnsi="Candara"/>
        </w:rPr>
        <w:t>son los siguientes:</w:t>
      </w:r>
    </w:p>
    <w:p w14:paraId="0090CB1E" w14:textId="77777777" w:rsidR="00F576CB" w:rsidRPr="005D10C1" w:rsidRDefault="00BD7BA0" w:rsidP="001B24A9">
      <w:pPr>
        <w:pStyle w:val="Prrafodelista"/>
        <w:numPr>
          <w:ilvl w:val="0"/>
          <w:numId w:val="8"/>
        </w:numPr>
        <w:spacing w:line="360" w:lineRule="auto"/>
        <w:rPr>
          <w:rFonts w:ascii="Candara" w:hAnsi="Candara"/>
        </w:rPr>
      </w:pPr>
      <w:r w:rsidRPr="005D10C1">
        <w:rPr>
          <w:rFonts w:ascii="Candara" w:hAnsi="Candara"/>
        </w:rPr>
        <w:t>Promover</w:t>
      </w:r>
      <w:r w:rsidR="00F576CB" w:rsidRPr="005D10C1">
        <w:rPr>
          <w:rFonts w:ascii="Candara" w:hAnsi="Candara"/>
        </w:rPr>
        <w:t xml:space="preserve"> la movilidad de los investigadores del sector público a las empresas</w:t>
      </w:r>
    </w:p>
    <w:p w14:paraId="4DCCDD71" w14:textId="77777777" w:rsidR="00F576CB" w:rsidRPr="005D10C1" w:rsidRDefault="00F576CB" w:rsidP="001B24A9">
      <w:pPr>
        <w:pStyle w:val="Prrafodelista"/>
        <w:numPr>
          <w:ilvl w:val="0"/>
          <w:numId w:val="8"/>
        </w:numPr>
        <w:spacing w:line="360" w:lineRule="auto"/>
        <w:rPr>
          <w:rFonts w:ascii="Candara" w:hAnsi="Candara"/>
        </w:rPr>
      </w:pPr>
      <w:r w:rsidRPr="005D10C1">
        <w:rPr>
          <w:rFonts w:ascii="Candara" w:hAnsi="Candara"/>
        </w:rPr>
        <w:t xml:space="preserve">Fomentar las colaboraciones públicas/privadas mediante el apoyo a las estructuras de </w:t>
      </w:r>
      <w:r w:rsidR="00BD7BA0" w:rsidRPr="005D10C1">
        <w:rPr>
          <w:rFonts w:ascii="Candara" w:hAnsi="Candara"/>
        </w:rPr>
        <w:t>transferencia</w:t>
      </w:r>
      <w:r w:rsidRPr="005D10C1">
        <w:rPr>
          <w:rFonts w:ascii="Candara" w:hAnsi="Candara"/>
        </w:rPr>
        <w:t xml:space="preserve"> de tecnología y las incubadoras de empresas.</w:t>
      </w:r>
    </w:p>
    <w:p w14:paraId="475823F3" w14:textId="77777777" w:rsidR="00F576CB" w:rsidRPr="005D10C1" w:rsidRDefault="00F576CB" w:rsidP="001B24A9">
      <w:pPr>
        <w:pStyle w:val="Prrafodelista"/>
        <w:numPr>
          <w:ilvl w:val="0"/>
          <w:numId w:val="8"/>
        </w:numPr>
        <w:spacing w:line="360" w:lineRule="auto"/>
        <w:rPr>
          <w:rFonts w:ascii="Candara" w:hAnsi="Candara"/>
        </w:rPr>
      </w:pPr>
      <w:r w:rsidRPr="005D10C1">
        <w:rPr>
          <w:rFonts w:ascii="Candara" w:hAnsi="Candara"/>
        </w:rPr>
        <w:t>Establecer un marco fiscal y legal específico y ventajoso para las empresas innovadoras.</w:t>
      </w:r>
    </w:p>
    <w:p w14:paraId="1B67F5CD" w14:textId="77777777" w:rsidR="00F576CB" w:rsidRPr="005D10C1" w:rsidRDefault="00F576CB" w:rsidP="006B0B4F">
      <w:pPr>
        <w:spacing w:line="360" w:lineRule="auto"/>
        <w:rPr>
          <w:rFonts w:ascii="Candara" w:hAnsi="Candara"/>
        </w:rPr>
      </w:pPr>
    </w:p>
    <w:p w14:paraId="7E4D68C0" w14:textId="77777777" w:rsidR="009806D6" w:rsidRPr="005D10C1" w:rsidRDefault="00471795" w:rsidP="006B0B4F">
      <w:pPr>
        <w:spacing w:line="360" w:lineRule="auto"/>
        <w:rPr>
          <w:rFonts w:ascii="Candara" w:hAnsi="Candara"/>
        </w:rPr>
      </w:pPr>
      <w:r w:rsidRPr="005D10C1">
        <w:rPr>
          <w:rFonts w:ascii="Candara" w:hAnsi="Candara"/>
        </w:rPr>
        <w:t xml:space="preserve">Ley de Innovación e investigación determina </w:t>
      </w:r>
      <w:r w:rsidR="009806D6" w:rsidRPr="005D10C1">
        <w:rPr>
          <w:rFonts w:ascii="Candara" w:hAnsi="Candara"/>
        </w:rPr>
        <w:t xml:space="preserve">dos medidas específicas que contribuyen a la generación de spin-off.  En primer lugar, el cambio de status de los investigadores y académicos y, en segundo lugar, la creación de </w:t>
      </w:r>
      <w:r w:rsidR="009979E9" w:rsidRPr="005D10C1">
        <w:rPr>
          <w:rFonts w:ascii="Candara" w:hAnsi="Candara"/>
        </w:rPr>
        <w:t>incubadoras</w:t>
      </w:r>
      <w:r w:rsidR="009806D6" w:rsidRPr="005D10C1">
        <w:rPr>
          <w:rFonts w:ascii="Candara" w:hAnsi="Candara"/>
        </w:rPr>
        <w:t xml:space="preserve"> en las universidades.</w:t>
      </w:r>
    </w:p>
    <w:p w14:paraId="7AB87F30" w14:textId="77777777" w:rsidR="009806D6" w:rsidRPr="005D10C1" w:rsidRDefault="009806D6" w:rsidP="006B0B4F">
      <w:pPr>
        <w:spacing w:line="360" w:lineRule="auto"/>
        <w:rPr>
          <w:rFonts w:ascii="Candara" w:hAnsi="Candara"/>
        </w:rPr>
      </w:pPr>
    </w:p>
    <w:p w14:paraId="12F454F1" w14:textId="77777777" w:rsidR="00477A8B" w:rsidRPr="005D10C1" w:rsidRDefault="009806D6" w:rsidP="006B25D4">
      <w:pPr>
        <w:spacing w:line="360" w:lineRule="auto"/>
        <w:rPr>
          <w:rFonts w:ascii="Candara" w:hAnsi="Candara"/>
        </w:rPr>
      </w:pPr>
      <w:r w:rsidRPr="005D10C1">
        <w:rPr>
          <w:rFonts w:ascii="Candara" w:hAnsi="Candara"/>
        </w:rPr>
        <w:t xml:space="preserve">En lo referente al estatus de los investigadores, </w:t>
      </w:r>
      <w:r w:rsidR="00C707AD" w:rsidRPr="005D10C1">
        <w:rPr>
          <w:rFonts w:ascii="Candara" w:hAnsi="Candara"/>
        </w:rPr>
        <w:t xml:space="preserve">antes de la entrada en vigor de esta ley, </w:t>
      </w:r>
      <w:r w:rsidRPr="005D10C1">
        <w:rPr>
          <w:rFonts w:ascii="Candara" w:hAnsi="Candara"/>
        </w:rPr>
        <w:t xml:space="preserve">los investigadores al tener calidad de funcionarios públicos o empleados estatales no podían participar en la creación de una empresa privada.  </w:t>
      </w:r>
      <w:r w:rsidR="00C707AD" w:rsidRPr="005D10C1">
        <w:rPr>
          <w:rFonts w:ascii="Candara" w:hAnsi="Candara"/>
        </w:rPr>
        <w:t xml:space="preserve">Por tanto </w:t>
      </w:r>
      <w:r w:rsidRPr="005D10C1">
        <w:rPr>
          <w:rFonts w:ascii="Candara" w:hAnsi="Candara"/>
        </w:rPr>
        <w:t xml:space="preserve">permite a los investigadores tomar una </w:t>
      </w:r>
      <w:r w:rsidR="0002525F" w:rsidRPr="005D10C1">
        <w:rPr>
          <w:rFonts w:ascii="Candara" w:hAnsi="Candara"/>
        </w:rPr>
        <w:t>lice</w:t>
      </w:r>
      <w:r w:rsidR="00A93CD9" w:rsidRPr="005D10C1">
        <w:rPr>
          <w:rFonts w:ascii="Candara" w:hAnsi="Candara"/>
        </w:rPr>
        <w:t xml:space="preserve">ncia temporal de sus funciones, convertirse en un socio de una </w:t>
      </w:r>
      <w:r w:rsidR="00A93CD9" w:rsidRPr="005D10C1">
        <w:rPr>
          <w:rFonts w:ascii="Candara" w:hAnsi="Candara"/>
          <w:i/>
        </w:rPr>
        <w:t>spin-off</w:t>
      </w:r>
      <w:r w:rsidR="00A93CD9" w:rsidRPr="005D10C1">
        <w:rPr>
          <w:rFonts w:ascii="Candara" w:hAnsi="Candara"/>
        </w:rPr>
        <w:t xml:space="preserve"> (artículo 25.1) y dejar su laboratorio sin perder su condición o status (con la posibilidad de regresar a la institución en caso de fracaso de la compañía)</w:t>
      </w:r>
      <w:r w:rsidR="0002525F" w:rsidRPr="005D10C1">
        <w:rPr>
          <w:rFonts w:ascii="Candara" w:hAnsi="Candara"/>
        </w:rPr>
        <w:t xml:space="preserve"> o quedarse en su universidad y ofrecer asistencia científica a la </w:t>
      </w:r>
      <w:r w:rsidR="0002525F" w:rsidRPr="005D10C1">
        <w:rPr>
          <w:rFonts w:ascii="Candara" w:hAnsi="Candara"/>
          <w:i/>
        </w:rPr>
        <w:t>spin-off</w:t>
      </w:r>
      <w:r w:rsidR="0002525F" w:rsidRPr="005D10C1">
        <w:rPr>
          <w:rFonts w:ascii="Candara" w:hAnsi="Candara"/>
        </w:rPr>
        <w:t xml:space="preserve"> (artículo 25.2)</w:t>
      </w:r>
      <w:r w:rsidR="00A97AB2" w:rsidRPr="005D10C1">
        <w:rPr>
          <w:rFonts w:ascii="Candara" w:hAnsi="Candara"/>
        </w:rPr>
        <w:t xml:space="preserve">, para lo cual debe obtener autorización del </w:t>
      </w:r>
      <w:r w:rsidR="0002525F" w:rsidRPr="005D10C1">
        <w:rPr>
          <w:rFonts w:ascii="Candara" w:hAnsi="Candara"/>
        </w:rPr>
        <w:t xml:space="preserve">Comité Nacional de Ética del Sector Público. Este investigador/académico puede </w:t>
      </w:r>
      <w:r w:rsidRPr="005D10C1">
        <w:rPr>
          <w:rFonts w:ascii="Candara" w:hAnsi="Candara"/>
        </w:rPr>
        <w:t xml:space="preserve">tener </w:t>
      </w:r>
      <w:r w:rsidR="0002525F" w:rsidRPr="005D10C1">
        <w:rPr>
          <w:rFonts w:ascii="Candara" w:hAnsi="Candara"/>
        </w:rPr>
        <w:t>acciones en esta empresa.</w:t>
      </w:r>
      <w:r w:rsidR="00445B40" w:rsidRPr="005D10C1">
        <w:rPr>
          <w:rFonts w:ascii="Candara" w:hAnsi="Candara"/>
        </w:rPr>
        <w:t xml:space="preserve"> </w:t>
      </w:r>
      <w:r w:rsidR="00477A8B" w:rsidRPr="005D10C1">
        <w:rPr>
          <w:rFonts w:ascii="Candara" w:hAnsi="Candara"/>
        </w:rPr>
        <w:t xml:space="preserve">Con esta Ley, investigadores, profesores-investigadores, ingenieros, jóvenes estudiantes de doctorado, técnicos y personal administrativo </w:t>
      </w:r>
      <w:r w:rsidR="00E5346E" w:rsidRPr="005D10C1">
        <w:rPr>
          <w:rFonts w:ascii="Candara" w:hAnsi="Candara"/>
        </w:rPr>
        <w:t>pueden</w:t>
      </w:r>
      <w:r w:rsidR="00445B40" w:rsidRPr="005D10C1">
        <w:rPr>
          <w:rFonts w:ascii="Candara" w:hAnsi="Candara"/>
        </w:rPr>
        <w:t xml:space="preserve"> </w:t>
      </w:r>
      <w:r w:rsidR="00477A8B" w:rsidRPr="005D10C1">
        <w:rPr>
          <w:rFonts w:ascii="Candara" w:hAnsi="Candara"/>
        </w:rPr>
        <w:t xml:space="preserve">participar en la creación de una empresa para explotar su trabajo de investigación. Están autorizados a participar como socio de la nueva empresa, por un período de tiempo </w:t>
      </w:r>
      <w:r w:rsidR="00445B40" w:rsidRPr="005D10C1">
        <w:rPr>
          <w:rFonts w:ascii="Candara" w:hAnsi="Candara"/>
        </w:rPr>
        <w:t>máximo de seis años</w:t>
      </w:r>
      <w:r w:rsidR="00477A8B" w:rsidRPr="005D10C1">
        <w:rPr>
          <w:rFonts w:ascii="Candara" w:hAnsi="Candara"/>
        </w:rPr>
        <w:t xml:space="preserve">, al final del cual pueden elegir entre volver al sector público o permanecer en la empresa. La ley, por </w:t>
      </w:r>
      <w:r w:rsidR="00477A8B" w:rsidRPr="005D10C1">
        <w:rPr>
          <w:rFonts w:ascii="Candara" w:hAnsi="Candara"/>
        </w:rPr>
        <w:lastRenderedPageBreak/>
        <w:t xml:space="preserve">lo tanto permite al sector público (universidad o laboratorio de investigación) pagar el salario del creador de la empresa durante la fase de puesta en marcha </w:t>
      </w:r>
      <w:r w:rsidR="003B0D24" w:rsidRPr="005D10C1">
        <w:rPr>
          <w:rFonts w:ascii="Candara" w:hAnsi="Candara"/>
        </w:rPr>
        <w:fldChar w:fldCharType="begin" w:fldLock="1"/>
      </w:r>
      <w:r w:rsidR="00CA1A09" w:rsidRPr="005D10C1">
        <w:rPr>
          <w:rFonts w:ascii="Candara" w:hAnsi="Candara"/>
        </w:rPr>
        <w:instrText>ADDIN CSL_CITATION { "citationItems" : [ { "id" : "ITEM-1", "itemData" : { "ISBN" : "9781845426484", "author" : [ { "dropping-particle" : "", "family" : "Wright", "given" : "Mike", "non-dropping-particle" : "", "parse-names" : false, "suffix" : "" }, { "dropping-particle" : "", "family" : "Clarysse", "given" : "Bart", "non-dropping-particle" : "", "parse-names" : false, "suffix" : "" }, { "dropping-particle" : "", "family" : "Mustar", "given" : "Philippe", "non-dropping-particle" : "", "parse-names" : false, "suffix" : "" }, { "dropping-particle" : "", "family" : "Lockett", "given" : "Andy", "non-dropping-particle" : "", "parse-names" : false, "suffix" : "" } ], "id" : "ITEM-1", "issued" : { "date-parts" : [ [ "2007" ] ] }, "page" : "228", "publisher" : "Edward Elgar Publishing Limited", "publisher-place" : "Cheltenham", "title" : "Academic entrepreneurship in Europe", "type" : "book" }, "uris" : [ "http://www.mendeley.com/documents/?uuid=34a1c844-6dc0-4dd3-9b08-7396431674f4" ] } ], "mendeley" : { "previouslyFormattedCitation" : "(Wright, Clarysse, Mustar, &amp; Lockett, 2007)" }, "properties" : { "noteIndex" : 0 }, "schema" : "https://github.com/citation-style-language/schema/raw/master/csl-citation.json" }</w:instrText>
      </w:r>
      <w:r w:rsidR="003B0D24" w:rsidRPr="005D10C1">
        <w:rPr>
          <w:rFonts w:ascii="Candara" w:hAnsi="Candara"/>
        </w:rPr>
        <w:fldChar w:fldCharType="separate"/>
      </w:r>
      <w:r w:rsidR="008F6ADD" w:rsidRPr="005D10C1">
        <w:rPr>
          <w:rFonts w:ascii="Candara" w:hAnsi="Candara"/>
          <w:noProof/>
        </w:rPr>
        <w:t>(Wright, Clarysse, Mustar, &amp; Lockett, 2007)</w:t>
      </w:r>
      <w:r w:rsidR="003B0D24" w:rsidRPr="005D10C1">
        <w:rPr>
          <w:rFonts w:ascii="Candara" w:hAnsi="Candara"/>
        </w:rPr>
        <w:fldChar w:fldCharType="end"/>
      </w:r>
      <w:r w:rsidR="00477A8B" w:rsidRPr="005D10C1">
        <w:rPr>
          <w:rFonts w:ascii="Candara" w:hAnsi="Candara"/>
        </w:rPr>
        <w:t>.</w:t>
      </w:r>
    </w:p>
    <w:p w14:paraId="426B68CF" w14:textId="77777777" w:rsidR="00477A8B" w:rsidRPr="005D10C1" w:rsidRDefault="00477A8B" w:rsidP="006B0B4F">
      <w:pPr>
        <w:pStyle w:val="Prrafodelista"/>
        <w:spacing w:line="360" w:lineRule="auto"/>
        <w:rPr>
          <w:rFonts w:ascii="Candara" w:hAnsi="Candara"/>
        </w:rPr>
      </w:pPr>
    </w:p>
    <w:p w14:paraId="2DA09D13" w14:textId="77777777" w:rsidR="00B071C6" w:rsidRPr="005D10C1" w:rsidRDefault="007F598D" w:rsidP="007F598D">
      <w:pPr>
        <w:spacing w:line="360" w:lineRule="auto"/>
        <w:rPr>
          <w:rFonts w:ascii="Candara" w:hAnsi="Candara"/>
        </w:rPr>
      </w:pPr>
      <w:r w:rsidRPr="005D10C1">
        <w:rPr>
          <w:rFonts w:ascii="Candara" w:hAnsi="Candara"/>
        </w:rPr>
        <w:t xml:space="preserve">Igualmente, esta </w:t>
      </w:r>
      <w:r w:rsidR="00C707AD" w:rsidRPr="005D10C1">
        <w:rPr>
          <w:rFonts w:ascii="Candara" w:hAnsi="Candara"/>
        </w:rPr>
        <w:t xml:space="preserve">ley </w:t>
      </w:r>
      <w:r w:rsidRPr="005D10C1">
        <w:rPr>
          <w:rFonts w:ascii="Candara" w:hAnsi="Candara"/>
        </w:rPr>
        <w:t>i</w:t>
      </w:r>
      <w:r w:rsidR="00B071C6" w:rsidRPr="005D10C1">
        <w:rPr>
          <w:rFonts w:ascii="Candara" w:hAnsi="Candara"/>
        </w:rPr>
        <w:t>mpide que las personas involucradas en la puesta en marcha</w:t>
      </w:r>
      <w:r w:rsidRPr="005D10C1">
        <w:rPr>
          <w:rFonts w:ascii="Candara" w:hAnsi="Candara"/>
        </w:rPr>
        <w:t xml:space="preserve"> de las empresas sean penalizada</w:t>
      </w:r>
      <w:r w:rsidR="00B071C6" w:rsidRPr="005D10C1">
        <w:rPr>
          <w:rFonts w:ascii="Candara" w:hAnsi="Candara"/>
        </w:rPr>
        <w:t xml:space="preserve">s en términos de sus carreras de investigación. Un contrato define los vínculos entre la empresa y el centro de investigación cuyo trabajo está siendo explotado. El personal de investigación puede proporcionar su apoyo científico para una empresa </w:t>
      </w:r>
      <w:r w:rsidR="0025242B" w:rsidRPr="005D10C1">
        <w:rPr>
          <w:rFonts w:ascii="Candara" w:hAnsi="Candara"/>
        </w:rPr>
        <w:t xml:space="preserve">creada a partir de los resultados de </w:t>
      </w:r>
      <w:r w:rsidR="00B071C6" w:rsidRPr="005D10C1">
        <w:rPr>
          <w:rFonts w:ascii="Candara" w:hAnsi="Candara"/>
        </w:rPr>
        <w:t>investi</w:t>
      </w:r>
      <w:r w:rsidRPr="005D10C1">
        <w:rPr>
          <w:rFonts w:ascii="Candara" w:hAnsi="Candara"/>
        </w:rPr>
        <w:t>gación, siempre que se mantenga</w:t>
      </w:r>
      <w:r w:rsidR="00B071C6" w:rsidRPr="005D10C1">
        <w:rPr>
          <w:rFonts w:ascii="Candara" w:hAnsi="Candara"/>
        </w:rPr>
        <w:t xml:space="preserve"> en el sector público. La ley también permite que </w:t>
      </w:r>
      <w:r w:rsidR="00F21FA7" w:rsidRPr="005D10C1">
        <w:rPr>
          <w:rFonts w:ascii="Candara" w:hAnsi="Candara"/>
        </w:rPr>
        <w:t>el investigador</w:t>
      </w:r>
      <w:r w:rsidR="00B071C6" w:rsidRPr="005D10C1">
        <w:rPr>
          <w:rFonts w:ascii="Candara" w:hAnsi="Candara"/>
        </w:rPr>
        <w:t xml:space="preserve"> contribuya al capital de una empresa </w:t>
      </w:r>
      <w:r w:rsidR="00F21FA7" w:rsidRPr="005D10C1">
        <w:rPr>
          <w:rFonts w:ascii="Candara" w:hAnsi="Candara"/>
        </w:rPr>
        <w:t xml:space="preserve">spin-off hasta en un </w:t>
      </w:r>
      <w:r w:rsidR="00DD5C68" w:rsidRPr="005D10C1">
        <w:rPr>
          <w:rFonts w:ascii="Candara" w:hAnsi="Candara"/>
        </w:rPr>
        <w:t xml:space="preserve">49 por ciento; no obstante, no pueden </w:t>
      </w:r>
      <w:r w:rsidR="0000216D" w:rsidRPr="005D10C1">
        <w:rPr>
          <w:rFonts w:ascii="Candara" w:hAnsi="Candara"/>
        </w:rPr>
        <w:t>participar</w:t>
      </w:r>
      <w:r w:rsidR="00B071C6" w:rsidRPr="005D10C1">
        <w:rPr>
          <w:rFonts w:ascii="Candara" w:hAnsi="Candara"/>
        </w:rPr>
        <w:t xml:space="preserve"> en cualquier negociación entre la universidad o laboratorio de investigación y la empresa spin-off. Los investigadores y profesores-investigadores pueden ser miembros de la dirección de la empresa, pero no pueden </w:t>
      </w:r>
      <w:r w:rsidR="008215D6" w:rsidRPr="005D10C1">
        <w:rPr>
          <w:rFonts w:ascii="Candara" w:hAnsi="Candara"/>
        </w:rPr>
        <w:t xml:space="preserve">ocupar el cargo de director </w:t>
      </w:r>
      <w:r w:rsidR="00497083" w:rsidRPr="005D10C1">
        <w:rPr>
          <w:rFonts w:ascii="Candara" w:hAnsi="Candara"/>
        </w:rPr>
        <w:t>ejecutivo</w:t>
      </w:r>
      <w:r w:rsidR="00B058C6" w:rsidRPr="005D10C1">
        <w:rPr>
          <w:rFonts w:ascii="Candara" w:hAnsi="Candara"/>
        </w:rPr>
        <w:t xml:space="preserve">/ gerente general </w:t>
      </w:r>
      <w:r w:rsidR="008215D6" w:rsidRPr="005D10C1">
        <w:rPr>
          <w:rFonts w:ascii="Candara" w:hAnsi="Candara"/>
        </w:rPr>
        <w:t xml:space="preserve">o de </w:t>
      </w:r>
      <w:r w:rsidR="00B071C6" w:rsidRPr="005D10C1">
        <w:rPr>
          <w:rFonts w:ascii="Candara" w:hAnsi="Candara"/>
        </w:rPr>
        <w:t xml:space="preserve">jefe de operaciones de la empresa ni ser miembro de la junta. </w:t>
      </w:r>
    </w:p>
    <w:p w14:paraId="05B6AD82" w14:textId="77777777" w:rsidR="0002525F" w:rsidRPr="005D10C1" w:rsidRDefault="0002525F" w:rsidP="006B0B4F">
      <w:pPr>
        <w:pStyle w:val="Prrafodelista"/>
        <w:spacing w:line="360" w:lineRule="auto"/>
        <w:rPr>
          <w:rFonts w:ascii="Candara" w:hAnsi="Candara"/>
        </w:rPr>
      </w:pPr>
    </w:p>
    <w:p w14:paraId="4C2B1244" w14:textId="77777777" w:rsidR="0002525F" w:rsidRPr="005D10C1" w:rsidRDefault="0002525F" w:rsidP="006B0B4F">
      <w:pPr>
        <w:spacing w:line="360" w:lineRule="auto"/>
        <w:rPr>
          <w:rFonts w:ascii="Candara" w:hAnsi="Candara"/>
        </w:rPr>
      </w:pPr>
      <w:r w:rsidRPr="005D10C1">
        <w:rPr>
          <w:rFonts w:ascii="Candara" w:hAnsi="Candara"/>
        </w:rPr>
        <w:t xml:space="preserve">En Francia, </w:t>
      </w:r>
      <w:r w:rsidR="00982717" w:rsidRPr="005D10C1">
        <w:rPr>
          <w:rFonts w:ascii="Candara" w:hAnsi="Candara"/>
        </w:rPr>
        <w:t>el apoyo gubernamental</w:t>
      </w:r>
      <w:r w:rsidR="00825131" w:rsidRPr="005D10C1">
        <w:rPr>
          <w:rFonts w:ascii="Candara" w:hAnsi="Candara"/>
        </w:rPr>
        <w:t xml:space="preserve"> para la creación de spin-off </w:t>
      </w:r>
      <w:r w:rsidR="00982717" w:rsidRPr="005D10C1">
        <w:rPr>
          <w:rFonts w:ascii="Candara" w:hAnsi="Candara"/>
        </w:rPr>
        <w:t>está basado en un proceso ideal de cuatro pasos</w:t>
      </w:r>
      <w:r w:rsidR="008215D6" w:rsidRPr="005D10C1">
        <w:rPr>
          <w:rFonts w:ascii="Candara" w:hAnsi="Candara"/>
        </w:rPr>
        <w:t>, a saber</w:t>
      </w:r>
      <w:r w:rsidRPr="005D10C1">
        <w:rPr>
          <w:rFonts w:ascii="Candara" w:hAnsi="Candara"/>
        </w:rPr>
        <w:t xml:space="preserve">: </w:t>
      </w:r>
    </w:p>
    <w:p w14:paraId="2B68A3D4" w14:textId="77777777" w:rsidR="0002525F" w:rsidRPr="005D10C1" w:rsidRDefault="001F5698" w:rsidP="001B24A9">
      <w:pPr>
        <w:pStyle w:val="Prrafodelista"/>
        <w:numPr>
          <w:ilvl w:val="0"/>
          <w:numId w:val="1"/>
        </w:numPr>
        <w:spacing w:line="360" w:lineRule="auto"/>
        <w:rPr>
          <w:rFonts w:ascii="Candara" w:hAnsi="Candara"/>
        </w:rPr>
      </w:pPr>
      <w:r w:rsidRPr="005D10C1">
        <w:rPr>
          <w:rFonts w:ascii="Candara" w:hAnsi="Candara"/>
        </w:rPr>
        <w:t>L</w:t>
      </w:r>
      <w:r w:rsidR="0002525F" w:rsidRPr="005D10C1">
        <w:rPr>
          <w:rFonts w:ascii="Candara" w:hAnsi="Candara"/>
        </w:rPr>
        <w:t>os investigadores públicos o los profesores universitarios</w:t>
      </w:r>
      <w:r w:rsidR="00982717" w:rsidRPr="005D10C1">
        <w:rPr>
          <w:rFonts w:ascii="Candara" w:hAnsi="Candara"/>
        </w:rPr>
        <w:t xml:space="preserve"> que son empleados públicos y deseen crear spin-offs, </w:t>
      </w:r>
      <w:r w:rsidR="0013373B" w:rsidRPr="005D10C1">
        <w:rPr>
          <w:rFonts w:ascii="Candara" w:hAnsi="Candara"/>
        </w:rPr>
        <w:t xml:space="preserve">solicitan la autorización </w:t>
      </w:r>
      <w:r w:rsidR="00982717" w:rsidRPr="005D10C1">
        <w:rPr>
          <w:rFonts w:ascii="Candara" w:hAnsi="Candara"/>
        </w:rPr>
        <w:t>d</w:t>
      </w:r>
      <w:r w:rsidR="0013373B" w:rsidRPr="005D10C1">
        <w:rPr>
          <w:rFonts w:ascii="Candara" w:hAnsi="Candara"/>
        </w:rPr>
        <w:t xml:space="preserve">el </w:t>
      </w:r>
      <w:r w:rsidR="002B3FA3" w:rsidRPr="005D10C1">
        <w:rPr>
          <w:rFonts w:ascii="Candara" w:hAnsi="Candara"/>
        </w:rPr>
        <w:t>C</w:t>
      </w:r>
      <w:r w:rsidR="0002525F" w:rsidRPr="005D10C1">
        <w:rPr>
          <w:rFonts w:ascii="Candara" w:hAnsi="Candara"/>
        </w:rPr>
        <w:t xml:space="preserve">omité de </w:t>
      </w:r>
      <w:r w:rsidR="002B3FA3" w:rsidRPr="005D10C1">
        <w:rPr>
          <w:rFonts w:ascii="Candara" w:hAnsi="Candara"/>
        </w:rPr>
        <w:t>É</w:t>
      </w:r>
      <w:r w:rsidR="0002525F" w:rsidRPr="005D10C1">
        <w:rPr>
          <w:rFonts w:ascii="Candara" w:hAnsi="Candara"/>
        </w:rPr>
        <w:t xml:space="preserve">tica del </w:t>
      </w:r>
      <w:r w:rsidR="002B3FA3" w:rsidRPr="005D10C1">
        <w:rPr>
          <w:rFonts w:ascii="Candara" w:hAnsi="Candara"/>
        </w:rPr>
        <w:t>S</w:t>
      </w:r>
      <w:r w:rsidR="0002525F" w:rsidRPr="005D10C1">
        <w:rPr>
          <w:rFonts w:ascii="Candara" w:hAnsi="Candara"/>
        </w:rPr>
        <w:t xml:space="preserve">ector </w:t>
      </w:r>
      <w:r w:rsidR="002B3FA3" w:rsidRPr="005D10C1">
        <w:rPr>
          <w:rFonts w:ascii="Candara" w:hAnsi="Candara"/>
        </w:rPr>
        <w:t>P</w:t>
      </w:r>
      <w:r w:rsidR="0002525F" w:rsidRPr="005D10C1">
        <w:rPr>
          <w:rFonts w:ascii="Candara" w:hAnsi="Candara"/>
        </w:rPr>
        <w:t>úblico</w:t>
      </w:r>
      <w:r w:rsidRPr="005D10C1">
        <w:rPr>
          <w:rFonts w:ascii="Candara" w:hAnsi="Candara"/>
        </w:rPr>
        <w:t>.</w:t>
      </w:r>
    </w:p>
    <w:p w14:paraId="6861CFC9" w14:textId="77777777" w:rsidR="0002525F" w:rsidRPr="005D10C1" w:rsidRDefault="00244C0F" w:rsidP="001B24A9">
      <w:pPr>
        <w:pStyle w:val="Prrafodelista"/>
        <w:numPr>
          <w:ilvl w:val="0"/>
          <w:numId w:val="1"/>
        </w:numPr>
        <w:spacing w:line="360" w:lineRule="auto"/>
        <w:rPr>
          <w:rFonts w:ascii="Candara" w:hAnsi="Candara"/>
        </w:rPr>
      </w:pPr>
      <w:r w:rsidRPr="005D10C1">
        <w:rPr>
          <w:rFonts w:ascii="Candara" w:hAnsi="Candara"/>
        </w:rPr>
        <w:t>Los emprendedores</w:t>
      </w:r>
      <w:r w:rsidR="00A4624F" w:rsidRPr="005D10C1">
        <w:rPr>
          <w:rFonts w:ascii="Candara" w:hAnsi="Candara"/>
        </w:rPr>
        <w:t xml:space="preserve"> </w:t>
      </w:r>
      <w:r w:rsidRPr="005D10C1">
        <w:rPr>
          <w:rFonts w:ascii="Candara" w:hAnsi="Candara"/>
        </w:rPr>
        <w:t>presentan su proyecto empresarial en la Competencia Nacional de Empresas T</w:t>
      </w:r>
      <w:r w:rsidR="002B3FA3" w:rsidRPr="005D10C1">
        <w:rPr>
          <w:rFonts w:ascii="Candara" w:hAnsi="Candara"/>
        </w:rPr>
        <w:t xml:space="preserve">ecnológicas </w:t>
      </w:r>
      <w:r w:rsidRPr="005D10C1">
        <w:rPr>
          <w:rFonts w:ascii="Candara" w:hAnsi="Candara"/>
        </w:rPr>
        <w:t>I</w:t>
      </w:r>
      <w:r w:rsidR="002B3FA3" w:rsidRPr="005D10C1">
        <w:rPr>
          <w:rFonts w:ascii="Candara" w:hAnsi="Candara"/>
        </w:rPr>
        <w:t>nnovadoras</w:t>
      </w:r>
      <w:r w:rsidR="0002525F" w:rsidRPr="005D10C1">
        <w:rPr>
          <w:rFonts w:ascii="Candara" w:hAnsi="Candara"/>
        </w:rPr>
        <w:t xml:space="preserve"> que identifica a los mejores pro</w:t>
      </w:r>
      <w:r w:rsidR="0013373B" w:rsidRPr="005D10C1">
        <w:rPr>
          <w:rFonts w:ascii="Candara" w:hAnsi="Candara"/>
        </w:rPr>
        <w:t xml:space="preserve">yectos y concede </w:t>
      </w:r>
      <w:r w:rsidRPr="005D10C1">
        <w:rPr>
          <w:rFonts w:ascii="Candara" w:hAnsi="Candara"/>
        </w:rPr>
        <w:t xml:space="preserve">premios que oscilan entre </w:t>
      </w:r>
      <w:r w:rsidR="008134D6" w:rsidRPr="005D10C1">
        <w:rPr>
          <w:rFonts w:ascii="Candara" w:hAnsi="Candara"/>
        </w:rPr>
        <w:t>los 45.000 Euros hasta 450.000 E</w:t>
      </w:r>
      <w:r w:rsidRPr="005D10C1">
        <w:rPr>
          <w:rFonts w:ascii="Candara" w:hAnsi="Candara"/>
        </w:rPr>
        <w:t>uros</w:t>
      </w:r>
      <w:r w:rsidR="001F5698" w:rsidRPr="005D10C1">
        <w:rPr>
          <w:rFonts w:ascii="Candara" w:hAnsi="Candara"/>
        </w:rPr>
        <w:t>.</w:t>
      </w:r>
    </w:p>
    <w:p w14:paraId="0B6D2EB6" w14:textId="77777777" w:rsidR="0002525F" w:rsidRPr="005D10C1" w:rsidRDefault="00244C0F" w:rsidP="001B24A9">
      <w:pPr>
        <w:pStyle w:val="Prrafodelista"/>
        <w:numPr>
          <w:ilvl w:val="0"/>
          <w:numId w:val="1"/>
        </w:numPr>
        <w:spacing w:line="360" w:lineRule="auto"/>
        <w:rPr>
          <w:rFonts w:ascii="Candara" w:hAnsi="Candara"/>
        </w:rPr>
      </w:pPr>
      <w:r w:rsidRPr="005D10C1">
        <w:rPr>
          <w:rFonts w:ascii="Candara" w:hAnsi="Candara"/>
        </w:rPr>
        <w:t>Los</w:t>
      </w:r>
      <w:r w:rsidR="0002525F" w:rsidRPr="005D10C1">
        <w:rPr>
          <w:rFonts w:ascii="Candara" w:hAnsi="Candara"/>
        </w:rPr>
        <w:t xml:space="preserve"> mejores proyectos son a</w:t>
      </w:r>
      <w:r w:rsidR="00283DAE" w:rsidRPr="005D10C1">
        <w:rPr>
          <w:rFonts w:ascii="Candara" w:hAnsi="Candara"/>
        </w:rPr>
        <w:t>lojados en incubadoras públicas.</w:t>
      </w:r>
    </w:p>
    <w:p w14:paraId="76A5A3AD" w14:textId="77777777" w:rsidR="0002525F" w:rsidRPr="005D10C1" w:rsidRDefault="0013373B" w:rsidP="001B24A9">
      <w:pPr>
        <w:pStyle w:val="Prrafodelista"/>
        <w:numPr>
          <w:ilvl w:val="0"/>
          <w:numId w:val="1"/>
        </w:numPr>
        <w:spacing w:line="360" w:lineRule="auto"/>
        <w:rPr>
          <w:rFonts w:ascii="Candara" w:hAnsi="Candara"/>
        </w:rPr>
      </w:pPr>
      <w:r w:rsidRPr="005D10C1">
        <w:rPr>
          <w:rFonts w:ascii="Candara" w:hAnsi="Candara"/>
        </w:rPr>
        <w:lastRenderedPageBreak/>
        <w:t xml:space="preserve">Finalmente, </w:t>
      </w:r>
      <w:r w:rsidR="003A432F" w:rsidRPr="005D10C1">
        <w:rPr>
          <w:rFonts w:ascii="Candara" w:hAnsi="Candara"/>
        </w:rPr>
        <w:t xml:space="preserve">los investigadores/profesores </w:t>
      </w:r>
      <w:r w:rsidR="0002525F" w:rsidRPr="005D10C1">
        <w:rPr>
          <w:rFonts w:ascii="Candara" w:hAnsi="Candara"/>
        </w:rPr>
        <w:t xml:space="preserve">pueden obtener </w:t>
      </w:r>
      <w:r w:rsidR="00244C0F" w:rsidRPr="005D10C1">
        <w:rPr>
          <w:rFonts w:ascii="Candara" w:hAnsi="Candara"/>
        </w:rPr>
        <w:t xml:space="preserve">financiación por parte de fondos de </w:t>
      </w:r>
      <w:r w:rsidR="0002525F" w:rsidRPr="005D10C1">
        <w:rPr>
          <w:rFonts w:ascii="Candara" w:hAnsi="Candara"/>
        </w:rPr>
        <w:t xml:space="preserve">capital </w:t>
      </w:r>
      <w:r w:rsidR="00244C0F" w:rsidRPr="005D10C1">
        <w:rPr>
          <w:rFonts w:ascii="Candara" w:hAnsi="Candara"/>
        </w:rPr>
        <w:t>semilla</w:t>
      </w:r>
      <w:r w:rsidR="0002525F" w:rsidRPr="005D10C1">
        <w:rPr>
          <w:rFonts w:ascii="Candara" w:hAnsi="Candara"/>
        </w:rPr>
        <w:t xml:space="preserve">. </w:t>
      </w:r>
    </w:p>
    <w:p w14:paraId="4B852074" w14:textId="77777777" w:rsidR="0089077D" w:rsidRPr="005D10C1" w:rsidRDefault="0089077D" w:rsidP="006B0B4F">
      <w:pPr>
        <w:spacing w:line="360" w:lineRule="auto"/>
        <w:rPr>
          <w:rFonts w:ascii="Candara" w:hAnsi="Candara"/>
        </w:rPr>
      </w:pPr>
    </w:p>
    <w:p w14:paraId="4D3ADEAD" w14:textId="77777777" w:rsidR="0002525F" w:rsidRPr="005D10C1" w:rsidRDefault="0002525F" w:rsidP="006B0B4F">
      <w:pPr>
        <w:spacing w:line="360" w:lineRule="auto"/>
        <w:rPr>
          <w:rFonts w:ascii="Candara" w:hAnsi="Candara"/>
        </w:rPr>
      </w:pPr>
      <w:r w:rsidRPr="005D10C1">
        <w:rPr>
          <w:rFonts w:ascii="Candara" w:hAnsi="Candara"/>
        </w:rPr>
        <w:t>Más allá del esquema, los mejores proyectos</w:t>
      </w:r>
      <w:r w:rsidR="00663D2A" w:rsidRPr="005D10C1">
        <w:rPr>
          <w:rFonts w:ascii="Candara" w:hAnsi="Candara"/>
        </w:rPr>
        <w:t xml:space="preserve"> generalmente</w:t>
      </w:r>
      <w:r w:rsidRPr="005D10C1">
        <w:rPr>
          <w:rFonts w:ascii="Candara" w:hAnsi="Candara"/>
        </w:rPr>
        <w:t xml:space="preserve"> son seleccionados por </w:t>
      </w:r>
      <w:r w:rsidR="00AE79CF" w:rsidRPr="005D10C1">
        <w:rPr>
          <w:rFonts w:ascii="Candara" w:hAnsi="Candara"/>
        </w:rPr>
        <w:t>fondos de</w:t>
      </w:r>
      <w:r w:rsidRPr="005D10C1">
        <w:rPr>
          <w:rFonts w:ascii="Candara" w:hAnsi="Candara"/>
        </w:rPr>
        <w:t xml:space="preserve"> capital de riesgo y, posteriormente, salen a bolsa, son adquiridos por otra empresa, o permanecen con una trayectoria de crecimiento con fondos privados</w:t>
      </w:r>
      <w:r w:rsidR="00663D2A" w:rsidRPr="005D10C1">
        <w:rPr>
          <w:rFonts w:ascii="Candara" w:hAnsi="Candara"/>
        </w:rPr>
        <w:t xml:space="preserve"> </w:t>
      </w:r>
      <w:r w:rsidR="00966FFF" w:rsidRPr="005D10C1">
        <w:rPr>
          <w:rFonts w:ascii="Candara" w:hAnsi="Candara"/>
        </w:rPr>
        <w:t>propios</w:t>
      </w:r>
      <w:r w:rsidRPr="005D10C1">
        <w:rPr>
          <w:rFonts w:ascii="Candara" w:hAnsi="Candara"/>
        </w:rPr>
        <w:t xml:space="preserve">. Con este marco, el científico puede ir desde el laboratorio al mercado. </w:t>
      </w:r>
      <w:r w:rsidRPr="005D10C1">
        <w:rPr>
          <w:rFonts w:ascii="Candara" w:hAnsi="Candara"/>
          <w:b/>
        </w:rPr>
        <w:t xml:space="preserve">La convicción de los promotores de la </w:t>
      </w:r>
      <w:r w:rsidR="00E94C9C" w:rsidRPr="005D10C1">
        <w:rPr>
          <w:rFonts w:ascii="Candara" w:hAnsi="Candara"/>
          <w:b/>
        </w:rPr>
        <w:t>l</w:t>
      </w:r>
      <w:r w:rsidRPr="005D10C1">
        <w:rPr>
          <w:rFonts w:ascii="Candara" w:hAnsi="Candara"/>
          <w:b/>
        </w:rPr>
        <w:t>ey de la innovación fue</w:t>
      </w:r>
      <w:r w:rsidR="00AA77B1" w:rsidRPr="005D10C1">
        <w:rPr>
          <w:rFonts w:ascii="Candara" w:hAnsi="Candara"/>
          <w:b/>
        </w:rPr>
        <w:t xml:space="preserve"> que estas iniciativas aumentaría</w:t>
      </w:r>
      <w:r w:rsidR="00966FFF" w:rsidRPr="005D10C1">
        <w:rPr>
          <w:rFonts w:ascii="Candara" w:hAnsi="Candara"/>
          <w:b/>
        </w:rPr>
        <w:t>n</w:t>
      </w:r>
      <w:r w:rsidRPr="005D10C1">
        <w:rPr>
          <w:rFonts w:ascii="Candara" w:hAnsi="Candara"/>
          <w:b/>
        </w:rPr>
        <w:t xml:space="preserve"> considerablemente el número de empresas creadas desde el sector público de investigación</w:t>
      </w:r>
      <w:r w:rsidR="00ED734C" w:rsidRPr="005D10C1">
        <w:rPr>
          <w:rFonts w:ascii="Candara" w:hAnsi="Candara"/>
          <w:b/>
        </w:rPr>
        <w:t xml:space="preserve"> </w:t>
      </w:r>
      <w:r w:rsidR="003B0D24" w:rsidRPr="005D10C1">
        <w:rPr>
          <w:rFonts w:ascii="Candara" w:hAnsi="Candara"/>
        </w:rPr>
        <w:fldChar w:fldCharType="begin" w:fldLock="1"/>
      </w:r>
      <w:r w:rsidR="00CA1A09" w:rsidRPr="005D10C1">
        <w:rPr>
          <w:rFonts w:ascii="Candara" w:hAnsi="Candara"/>
        </w:rPr>
        <w:instrText>ADDIN CSL_CITATION { "citationItems" : [ { "id" : "ITEM-1", "itemData" : { "DOI" : "10.1007/s10961-009-9113-7", "ISBN" : "1096100991", "ISSN" : "0892-9912", "author" : [ { "dropping-particle" : "", "family" : "Mustar", "given" : "P", "non-dropping-particle" : "", "parse-names" : false, "suffix" : "" }, { "dropping-particle" : "", "family" : "Wright", "given" : "M", "non-dropping-particle" : "", "parse-names" : false, "suffix" : "" } ], "container-title" : "The Journal of Technology Transfer", "id" : "ITEM-1", "issue" : "1", "issued" : { "date-parts" : [ [ "2009", "3", "10" ] ] }, "page" : "42-65", "title" : "Convergence or path dependency in policies to foster the creation of university spin-off firms? A comparison of France and the United Kingdom", "type" : "article-journal", "volume" : "35" }, "uris" : [ "http://www.mendeley.com/documents/?uuid=e499b193-412d-4416-b804-a2649cc58f22" ] } ], "mendeley" : { "previouslyFormattedCitation" : "(Mustar &amp; Wright, 2009)" }, "properties" : { "noteIndex" : 0 }, "schema" : "https://github.com/citation-style-language/schema/raw/master/csl-citation.json" }</w:instrText>
      </w:r>
      <w:r w:rsidR="003B0D24" w:rsidRPr="005D10C1">
        <w:rPr>
          <w:rFonts w:ascii="Candara" w:hAnsi="Candara"/>
        </w:rPr>
        <w:fldChar w:fldCharType="separate"/>
      </w:r>
      <w:r w:rsidR="004C5950" w:rsidRPr="005D10C1">
        <w:rPr>
          <w:rFonts w:ascii="Candara" w:hAnsi="Candara"/>
          <w:noProof/>
        </w:rPr>
        <w:t>(Mustar &amp; Wright, 2009)</w:t>
      </w:r>
      <w:r w:rsidR="003B0D24" w:rsidRPr="005D10C1">
        <w:rPr>
          <w:rFonts w:ascii="Candara" w:hAnsi="Candara"/>
        </w:rPr>
        <w:fldChar w:fldCharType="end"/>
      </w:r>
      <w:r w:rsidR="005B6323" w:rsidRPr="005D10C1">
        <w:rPr>
          <w:rFonts w:ascii="Candara" w:hAnsi="Candara"/>
        </w:rPr>
        <w:t>.</w:t>
      </w:r>
    </w:p>
    <w:p w14:paraId="667D7933" w14:textId="77777777" w:rsidR="0002525F" w:rsidRPr="005D10C1" w:rsidRDefault="0002525F" w:rsidP="006B0B4F">
      <w:pPr>
        <w:spacing w:line="360" w:lineRule="auto"/>
        <w:rPr>
          <w:rFonts w:ascii="Candara" w:hAnsi="Candara"/>
        </w:rPr>
      </w:pPr>
    </w:p>
    <w:p w14:paraId="769F7802" w14:textId="77777777" w:rsidR="00E235C5" w:rsidRPr="005D10C1" w:rsidRDefault="00E235C5" w:rsidP="006B0B4F">
      <w:pPr>
        <w:spacing w:line="360" w:lineRule="auto"/>
        <w:rPr>
          <w:rFonts w:ascii="Candara" w:hAnsi="Candara"/>
          <w:i/>
        </w:rPr>
      </w:pPr>
      <w:r w:rsidRPr="005D10C1">
        <w:rPr>
          <w:rFonts w:ascii="Candara" w:hAnsi="Candara"/>
          <w:i/>
        </w:rPr>
        <w:t>Programas</w:t>
      </w:r>
    </w:p>
    <w:p w14:paraId="5ECBE6CD" w14:textId="77777777" w:rsidR="00A035A4" w:rsidRPr="005D10C1" w:rsidRDefault="00A035A4" w:rsidP="006B0B4F">
      <w:pPr>
        <w:spacing w:line="360" w:lineRule="auto"/>
        <w:rPr>
          <w:rFonts w:ascii="Candara" w:hAnsi="Candara"/>
        </w:rPr>
      </w:pPr>
    </w:p>
    <w:p w14:paraId="4F622CE6" w14:textId="77777777" w:rsidR="00A035A4" w:rsidRPr="005D10C1" w:rsidRDefault="0078245C" w:rsidP="006B0B4F">
      <w:pPr>
        <w:spacing w:line="360" w:lineRule="auto"/>
        <w:rPr>
          <w:rFonts w:ascii="Candara" w:hAnsi="Candara"/>
        </w:rPr>
      </w:pPr>
      <w:r w:rsidRPr="005D10C1">
        <w:rPr>
          <w:rFonts w:ascii="Candara" w:hAnsi="Candara"/>
        </w:rPr>
        <w:t>Han existido</w:t>
      </w:r>
      <w:r w:rsidR="00A035A4" w:rsidRPr="005D10C1">
        <w:rPr>
          <w:rFonts w:ascii="Candara" w:hAnsi="Candara"/>
        </w:rPr>
        <w:t xml:space="preserve"> varios programas </w:t>
      </w:r>
      <w:r w:rsidRPr="005D10C1">
        <w:rPr>
          <w:rFonts w:ascii="Candara" w:hAnsi="Candara"/>
        </w:rPr>
        <w:t>para el apoyo de</w:t>
      </w:r>
      <w:r w:rsidR="00A035A4" w:rsidRPr="005D10C1">
        <w:rPr>
          <w:rFonts w:ascii="Candara" w:hAnsi="Candara"/>
        </w:rPr>
        <w:t xml:space="preserve"> la generación de spin-off en el caso francés, los cuales se describen a continuación</w:t>
      </w:r>
    </w:p>
    <w:p w14:paraId="04615903" w14:textId="77777777" w:rsidR="00A035A4" w:rsidRPr="005D10C1" w:rsidRDefault="00A035A4" w:rsidP="006B0B4F">
      <w:pPr>
        <w:spacing w:line="360" w:lineRule="auto"/>
        <w:rPr>
          <w:rFonts w:ascii="Candara" w:hAnsi="Candara"/>
          <w:i/>
        </w:rPr>
      </w:pPr>
    </w:p>
    <w:p w14:paraId="25A07952" w14:textId="77777777" w:rsidR="00E235C5" w:rsidRPr="005D10C1" w:rsidRDefault="00575912" w:rsidP="001B24A9">
      <w:pPr>
        <w:pStyle w:val="Prrafodelista"/>
        <w:numPr>
          <w:ilvl w:val="0"/>
          <w:numId w:val="18"/>
        </w:numPr>
        <w:spacing w:line="360" w:lineRule="auto"/>
        <w:rPr>
          <w:rFonts w:ascii="Candara" w:hAnsi="Candara"/>
        </w:rPr>
      </w:pPr>
      <w:r w:rsidRPr="005D10C1">
        <w:rPr>
          <w:rFonts w:ascii="Candara" w:hAnsi="Candara"/>
          <w:i/>
        </w:rPr>
        <w:t>Agence Nationale de Valorisation de la Recherche</w:t>
      </w:r>
      <w:r w:rsidR="00EA0B60" w:rsidRPr="005D10C1">
        <w:rPr>
          <w:rFonts w:ascii="Candara" w:hAnsi="Candara"/>
          <w:i/>
        </w:rPr>
        <w:t xml:space="preserve"> </w:t>
      </w:r>
      <w:r w:rsidR="00E0309F" w:rsidRPr="005D10C1">
        <w:rPr>
          <w:rFonts w:ascii="Candara" w:hAnsi="Candara"/>
        </w:rPr>
        <w:t>ANVAR</w:t>
      </w:r>
      <w:r w:rsidR="00EE7D1E" w:rsidRPr="005D10C1">
        <w:rPr>
          <w:rFonts w:ascii="Candara" w:hAnsi="Candara"/>
        </w:rPr>
        <w:t xml:space="preserve"> (</w:t>
      </w:r>
      <w:r w:rsidR="00EA0B60" w:rsidRPr="005D10C1">
        <w:rPr>
          <w:rFonts w:ascii="Candara" w:hAnsi="Candara"/>
        </w:rPr>
        <w:t>Agencia Nacional Para la Valorización de l</w:t>
      </w:r>
      <w:r w:rsidR="00EE7D1E" w:rsidRPr="005D10C1">
        <w:rPr>
          <w:rFonts w:ascii="Candara" w:hAnsi="Candara"/>
        </w:rPr>
        <w:t>a Investigación)</w:t>
      </w:r>
      <w:r w:rsidR="00EA0B60" w:rsidRPr="005D10C1">
        <w:rPr>
          <w:rFonts w:ascii="Candara" w:hAnsi="Candara"/>
        </w:rPr>
        <w:t>.</w:t>
      </w:r>
      <w:r w:rsidRPr="005D10C1">
        <w:rPr>
          <w:rFonts w:ascii="Candara" w:hAnsi="Candara"/>
        </w:rPr>
        <w:t xml:space="preserve"> </w:t>
      </w:r>
      <w:r w:rsidR="00EA0B60" w:rsidRPr="005D10C1">
        <w:rPr>
          <w:rFonts w:ascii="Candara" w:hAnsi="Candara"/>
        </w:rPr>
        <w:t>F</w:t>
      </w:r>
      <w:r w:rsidR="00E0309F" w:rsidRPr="005D10C1">
        <w:rPr>
          <w:rFonts w:ascii="Candara" w:hAnsi="Candara"/>
        </w:rPr>
        <w:t>ue creada para promover la explotación de resultados de investigación pública, al cabo de unos años transfirió su actividad a instituciones de investigación o universidades y a su propia comercialización de servicios, y fue un apoyo importante en PYMES</w:t>
      </w:r>
      <w:r w:rsidR="00F265CF" w:rsidRPr="005D10C1">
        <w:rPr>
          <w:rFonts w:ascii="Candara" w:hAnsi="Candara"/>
        </w:rPr>
        <w:t xml:space="preserve"> debido a que ofrecía préstamos y ayudaba al reclutamiento de doctores e ingenieros investigadores calificados.</w:t>
      </w:r>
    </w:p>
    <w:p w14:paraId="185AFF3B" w14:textId="77777777" w:rsidR="00E6176A" w:rsidRPr="005D10C1" w:rsidRDefault="00E6176A" w:rsidP="006B0B4F">
      <w:pPr>
        <w:spacing w:line="360" w:lineRule="auto"/>
        <w:rPr>
          <w:rFonts w:ascii="Candara" w:hAnsi="Candara"/>
        </w:rPr>
      </w:pPr>
    </w:p>
    <w:p w14:paraId="75FE3600" w14:textId="77777777" w:rsidR="0089077D" w:rsidRPr="005D10C1" w:rsidRDefault="006E6E63" w:rsidP="001B24A9">
      <w:pPr>
        <w:pStyle w:val="Prrafodelista"/>
        <w:numPr>
          <w:ilvl w:val="0"/>
          <w:numId w:val="18"/>
        </w:numPr>
        <w:spacing w:line="360" w:lineRule="auto"/>
        <w:rPr>
          <w:rFonts w:ascii="Candara" w:hAnsi="Candara"/>
        </w:rPr>
      </w:pPr>
      <w:r w:rsidRPr="005D10C1">
        <w:rPr>
          <w:rFonts w:ascii="Candara" w:hAnsi="Candara"/>
        </w:rPr>
        <w:t>BPI France</w:t>
      </w:r>
      <w:r w:rsidR="00CC3738" w:rsidRPr="005D10C1">
        <w:rPr>
          <w:rFonts w:ascii="Candara" w:hAnsi="Candara"/>
        </w:rPr>
        <w:t xml:space="preserve">. </w:t>
      </w:r>
      <w:r w:rsidRPr="005D10C1">
        <w:rPr>
          <w:rFonts w:ascii="Candara" w:hAnsi="Candara"/>
        </w:rPr>
        <w:t>E</w:t>
      </w:r>
      <w:r w:rsidR="0078245C" w:rsidRPr="005D10C1">
        <w:rPr>
          <w:rFonts w:ascii="Candara" w:hAnsi="Candara"/>
        </w:rPr>
        <w:t>s un holding con carácter público creado</w:t>
      </w:r>
      <w:r w:rsidR="0089077D" w:rsidRPr="005D10C1">
        <w:rPr>
          <w:rFonts w:ascii="Candara" w:hAnsi="Candara"/>
        </w:rPr>
        <w:t xml:space="preserve"> </w:t>
      </w:r>
      <w:r w:rsidR="002944EF" w:rsidRPr="005D10C1">
        <w:rPr>
          <w:rFonts w:ascii="Candara" w:hAnsi="Candara"/>
        </w:rPr>
        <w:t xml:space="preserve">mediante la fusión de </w:t>
      </w:r>
      <w:r w:rsidR="0089077D" w:rsidRPr="005D10C1">
        <w:rPr>
          <w:rFonts w:ascii="Candara" w:hAnsi="Candara"/>
        </w:rPr>
        <w:t xml:space="preserve">ANVAR y </w:t>
      </w:r>
      <w:r w:rsidR="007658D0" w:rsidRPr="005D10C1">
        <w:rPr>
          <w:rFonts w:ascii="Candara" w:hAnsi="Candara"/>
        </w:rPr>
        <w:t xml:space="preserve">el </w:t>
      </w:r>
      <w:r w:rsidR="0089077D" w:rsidRPr="005D10C1">
        <w:rPr>
          <w:rFonts w:ascii="Candara" w:hAnsi="Candara"/>
          <w:i/>
        </w:rPr>
        <w:t>Banque de De 'Développement des Petites et Moyennes</w:t>
      </w:r>
      <w:r w:rsidR="007658D0" w:rsidRPr="005D10C1">
        <w:rPr>
          <w:rFonts w:ascii="Candara" w:hAnsi="Candara"/>
          <w:i/>
        </w:rPr>
        <w:t xml:space="preserve"> </w:t>
      </w:r>
      <w:r w:rsidR="0089077D" w:rsidRPr="005D10C1">
        <w:rPr>
          <w:rFonts w:ascii="Candara" w:hAnsi="Candara"/>
          <w:i/>
        </w:rPr>
        <w:t>Entreprises</w:t>
      </w:r>
      <w:r w:rsidR="0089077D" w:rsidRPr="005D10C1">
        <w:rPr>
          <w:rFonts w:ascii="Candara" w:hAnsi="Candara"/>
        </w:rPr>
        <w:t xml:space="preserve"> </w:t>
      </w:r>
      <w:r w:rsidR="007658D0" w:rsidRPr="005D10C1">
        <w:rPr>
          <w:rFonts w:ascii="Candara" w:hAnsi="Candara"/>
        </w:rPr>
        <w:t xml:space="preserve">BDMPE </w:t>
      </w:r>
      <w:r w:rsidR="00AF4293" w:rsidRPr="005D10C1">
        <w:rPr>
          <w:rFonts w:ascii="Candara" w:hAnsi="Candara"/>
        </w:rPr>
        <w:t>(</w:t>
      </w:r>
      <w:r w:rsidR="0089077D" w:rsidRPr="005D10C1">
        <w:rPr>
          <w:rFonts w:ascii="Candara" w:hAnsi="Candara"/>
        </w:rPr>
        <w:t>Banco de Desarrollo de las PYME</w:t>
      </w:r>
      <w:r w:rsidR="00AF4293" w:rsidRPr="005D10C1">
        <w:rPr>
          <w:rFonts w:ascii="Candara" w:hAnsi="Candara"/>
        </w:rPr>
        <w:t>)</w:t>
      </w:r>
      <w:r w:rsidR="0089077D" w:rsidRPr="005D10C1">
        <w:rPr>
          <w:rFonts w:ascii="Candara" w:hAnsi="Candara"/>
        </w:rPr>
        <w:t>. Reporta al Ministerio de Economía, Finanzas e Industria, y al Ministerio de Educación Superior e Investigación.</w:t>
      </w:r>
      <w:r w:rsidR="007658D0" w:rsidRPr="005D10C1">
        <w:rPr>
          <w:rFonts w:ascii="Candara" w:hAnsi="Candara"/>
        </w:rPr>
        <w:t xml:space="preserve"> </w:t>
      </w:r>
      <w:r w:rsidRPr="005D10C1">
        <w:rPr>
          <w:rFonts w:ascii="Candara" w:hAnsi="Candara"/>
        </w:rPr>
        <w:t xml:space="preserve">BPI </w:t>
      </w:r>
      <w:r w:rsidRPr="005D10C1">
        <w:rPr>
          <w:rFonts w:ascii="Candara" w:hAnsi="Candara"/>
        </w:rPr>
        <w:lastRenderedPageBreak/>
        <w:t>France</w:t>
      </w:r>
      <w:r w:rsidR="0089077D" w:rsidRPr="005D10C1">
        <w:rPr>
          <w:rFonts w:ascii="Candara" w:hAnsi="Candara"/>
        </w:rPr>
        <w:t xml:space="preserve"> </w:t>
      </w:r>
      <w:r w:rsidR="00AF4293" w:rsidRPr="005D10C1">
        <w:rPr>
          <w:rFonts w:ascii="Candara" w:hAnsi="Candara"/>
        </w:rPr>
        <w:t xml:space="preserve">tiene como misión </w:t>
      </w:r>
      <w:r w:rsidR="0089077D" w:rsidRPr="005D10C1">
        <w:rPr>
          <w:rFonts w:ascii="Candara" w:hAnsi="Candara"/>
        </w:rPr>
        <w:t xml:space="preserve">proporcionar asistencia y apoyo financiero a las pymes y empresas </w:t>
      </w:r>
      <w:r w:rsidR="007658D0" w:rsidRPr="005D10C1">
        <w:rPr>
          <w:rFonts w:ascii="Candara" w:hAnsi="Candara"/>
        </w:rPr>
        <w:t xml:space="preserve">jóvenes </w:t>
      </w:r>
      <w:r w:rsidR="0089077D" w:rsidRPr="005D10C1">
        <w:rPr>
          <w:rFonts w:ascii="Candara" w:hAnsi="Candara"/>
        </w:rPr>
        <w:t>en diferentes fases: la puesta en marcha, la innovación</w:t>
      </w:r>
      <w:r w:rsidR="00216D68" w:rsidRPr="005D10C1">
        <w:rPr>
          <w:rFonts w:ascii="Candara" w:hAnsi="Candara"/>
        </w:rPr>
        <w:t xml:space="preserve"> y</w:t>
      </w:r>
      <w:r w:rsidR="0089077D" w:rsidRPr="005D10C1">
        <w:rPr>
          <w:rFonts w:ascii="Candara" w:hAnsi="Candara"/>
        </w:rPr>
        <w:t xml:space="preserve"> el desarrollo. Facilita el acceso de las PYME a la financiación de los socios bancarios y los inversores de capital de renta variable. Las áreas que cubre</w:t>
      </w:r>
      <w:r w:rsidR="00D63228" w:rsidRPr="005D10C1">
        <w:rPr>
          <w:rFonts w:ascii="Candara" w:hAnsi="Candara"/>
        </w:rPr>
        <w:t xml:space="preserve"> son</w:t>
      </w:r>
      <w:r w:rsidR="0089077D" w:rsidRPr="005D10C1">
        <w:rPr>
          <w:rFonts w:ascii="Candara" w:hAnsi="Candara"/>
        </w:rPr>
        <w:t>: Apoyo a la innovación y la financiación (para la transferencia de tecnología y proyectos de base tecnológica innovadores con posibilidades de comercialización de bienes), la financiación de inversiones y capital de trabajo junto a los bancos, y la garantía de la financiación concedida por los bancos y los inversores de capital de renta variable</w:t>
      </w:r>
      <w:r w:rsidR="00191850" w:rsidRPr="005D10C1">
        <w:rPr>
          <w:rFonts w:ascii="Candara" w:hAnsi="Candara"/>
        </w:rPr>
        <w:t xml:space="preserve"> </w:t>
      </w:r>
      <w:r w:rsidR="003B0D24" w:rsidRPr="005D10C1">
        <w:rPr>
          <w:rFonts w:ascii="Candara" w:hAnsi="Candara"/>
        </w:rPr>
        <w:fldChar w:fldCharType="begin" w:fldLock="1"/>
      </w:r>
      <w:r w:rsidR="00CA1A09" w:rsidRPr="005D10C1">
        <w:rPr>
          <w:rFonts w:ascii="Candara" w:hAnsi="Candara"/>
        </w:rPr>
        <w:instrText>ADDIN CSL_CITATION { "citationItems" : [ { "id" : "ITEM-1", "itemData" : { "URL" : "http://www.bpifrance.fr/autre/bpifrance_in_english", "accessed" : { "date-parts" : [ [ "2013", "9", "26" ] ] }, "id" : "ITEM-1", "issued" : { "date-parts" : [ [ "2013" ] ] }, "title" : "Bpifrance - Banque Publique d'Investissement", "type" : "webpage" }, "uris" : [ "http://www.mendeley.com/documents/?uuid=d9578715-af93-4bb5-864d-0fbea5ef36ff" ] } ], "mendeley" : { "previouslyFormattedCitation" : "(\u201cBpifrance - Banque Publique d\u2019Investissement,\u201d 2013)" }, "properties" : { "noteIndex" : 0 }, "schema" : "https://github.com/citation-style-language/schema/raw/master/csl-citation.json" }</w:instrText>
      </w:r>
      <w:r w:rsidR="003B0D24" w:rsidRPr="005D10C1">
        <w:rPr>
          <w:rFonts w:ascii="Candara" w:hAnsi="Candara"/>
        </w:rPr>
        <w:fldChar w:fldCharType="separate"/>
      </w:r>
      <w:r w:rsidR="00191850" w:rsidRPr="005D10C1">
        <w:rPr>
          <w:rFonts w:ascii="Candara" w:hAnsi="Candara"/>
          <w:noProof/>
        </w:rPr>
        <w:t>(“Bpifrance - Banque Publique d’Investissement,” 2013)</w:t>
      </w:r>
      <w:r w:rsidR="003B0D24" w:rsidRPr="005D10C1">
        <w:rPr>
          <w:rFonts w:ascii="Candara" w:hAnsi="Candara"/>
        </w:rPr>
        <w:fldChar w:fldCharType="end"/>
      </w:r>
      <w:r w:rsidR="002944EF" w:rsidRPr="005D10C1">
        <w:rPr>
          <w:rFonts w:ascii="Candara" w:hAnsi="Candara"/>
        </w:rPr>
        <w:t>.</w:t>
      </w:r>
    </w:p>
    <w:p w14:paraId="346A875A" w14:textId="77777777" w:rsidR="004D257E" w:rsidRPr="005D10C1" w:rsidRDefault="004D257E" w:rsidP="0089077D">
      <w:pPr>
        <w:spacing w:line="360" w:lineRule="auto"/>
        <w:rPr>
          <w:rFonts w:ascii="Candara" w:hAnsi="Candara"/>
        </w:rPr>
      </w:pPr>
    </w:p>
    <w:p w14:paraId="75D74A27" w14:textId="77777777" w:rsidR="00C815FD" w:rsidRPr="005D10C1" w:rsidRDefault="008B4C7D">
      <w:pPr>
        <w:pStyle w:val="Ttulo2"/>
        <w:rPr>
          <w:rFonts w:ascii="Candara" w:hAnsi="Candara"/>
          <w:color w:val="auto"/>
        </w:rPr>
      </w:pPr>
      <w:bookmarkStart w:id="262" w:name="_Toc365878859"/>
      <w:bookmarkStart w:id="263" w:name="_Toc377653152"/>
      <w:r w:rsidRPr="005D10C1">
        <w:rPr>
          <w:rFonts w:ascii="Candara" w:hAnsi="Candara"/>
          <w:color w:val="auto"/>
        </w:rPr>
        <w:t>España</w:t>
      </w:r>
      <w:bookmarkEnd w:id="262"/>
      <w:bookmarkEnd w:id="263"/>
    </w:p>
    <w:p w14:paraId="5F44BECA" w14:textId="77777777" w:rsidR="008A1FEF" w:rsidRPr="005D10C1" w:rsidRDefault="008A1FEF" w:rsidP="00AC7435">
      <w:pPr>
        <w:spacing w:line="360" w:lineRule="auto"/>
        <w:rPr>
          <w:rFonts w:ascii="Candara" w:hAnsi="Candara"/>
        </w:rPr>
      </w:pPr>
    </w:p>
    <w:p w14:paraId="6B5838B3" w14:textId="77777777" w:rsidR="00A72B86" w:rsidRPr="005D10C1" w:rsidRDefault="00A72B86" w:rsidP="005C00E5">
      <w:pPr>
        <w:spacing w:line="360" w:lineRule="auto"/>
        <w:rPr>
          <w:rFonts w:ascii="Candara" w:hAnsi="Candara"/>
          <w:i/>
        </w:rPr>
      </w:pPr>
      <w:r w:rsidRPr="005D10C1">
        <w:rPr>
          <w:rFonts w:ascii="Candara" w:hAnsi="Candara"/>
          <w:i/>
        </w:rPr>
        <w:t>El fenómeno Spin-off en España</w:t>
      </w:r>
    </w:p>
    <w:p w14:paraId="32842BC1" w14:textId="77777777" w:rsidR="002032EC" w:rsidRPr="005D10C1" w:rsidRDefault="002032EC" w:rsidP="005C00E5">
      <w:pPr>
        <w:spacing w:line="360" w:lineRule="auto"/>
        <w:rPr>
          <w:rFonts w:ascii="Candara" w:hAnsi="Candara"/>
        </w:rPr>
      </w:pPr>
    </w:p>
    <w:p w14:paraId="138F675A" w14:textId="77777777" w:rsidR="00A214F3" w:rsidRPr="005D10C1" w:rsidRDefault="00A214F3" w:rsidP="00A214F3">
      <w:pPr>
        <w:spacing w:line="360" w:lineRule="auto"/>
        <w:rPr>
          <w:rFonts w:ascii="Candara" w:hAnsi="Candara"/>
        </w:rPr>
      </w:pPr>
      <w:r w:rsidRPr="005D10C1">
        <w:rPr>
          <w:rFonts w:ascii="Candara" w:hAnsi="Candara"/>
        </w:rPr>
        <w:t>En la última década, el fenómeno de emprendimiento académico en España ha despertado el interés de las diferentes administraciones públicas y las universidades debido al impacto esperado sobre el desarrollo económico y social</w:t>
      </w:r>
      <w:r w:rsidR="003B0D24" w:rsidRPr="005D10C1">
        <w:rPr>
          <w:rFonts w:ascii="Candara" w:hAnsi="Candara"/>
        </w:rPr>
        <w:fldChar w:fldCharType="begin" w:fldLock="1"/>
      </w:r>
      <w:r w:rsidRPr="005D10C1">
        <w:rPr>
          <w:rFonts w:ascii="Candara" w:hAnsi="Candara"/>
        </w:rPr>
        <w:instrText>ADDIN CSL_CITATION { "citationItems" : [ { "id" : "ITEM-1", "itemData" : { "DOI" : "10.1007/s11365-007-0061-0", "ISBN" : "1136500700610", "ISSN" : "1554-7191", "author" : [ { "dropping-particle" : "", "family" : "G\u00f3mez", "given" : "Jos\u00e9 Mar\u00eda", "non-dropping-particle" : "", "parse-names" : false, "suffix" : "" }, { "dropping-particle" : "", "family" : "Galiana", "given" : "Domingo Rafael", "non-dropping-particle" : "", "parse-names" : false, "suffix" : "" }, { "dropping-particle" : "", "family" : "Mira", "given" : "Ignacio", "non-dropping-particle" : "", "parse-names" : false, "suffix" : "" }, { "dropping-particle" : "", "family" : "Verd\u00fa", "given" : "Antonio Jos\u00e9", "non-dropping-particle" : "", "parse-names" : false, "suffix" : "" }, { "dropping-particle" : "", "family" : "Sancho", "given" : "Javier", "non-dropping-particle" : "", "parse-names" : false, "suffix" : "" } ], "container-title" : "International Entrepreneurship and Management Journal", "id" : "ITEM-1", "issue" : "2", "issued" : { "date-parts" : [ [ "2007", "11", "14" ] ] }, "page" : "187-198", "title" : "An empirical approach to the organisational determinants of spin-off creation in European universities", "type" : "article-journal", "volume" : "4" }, "uris" : [ "http://www.mendeley.com/documents/?uuid=e1cb0f51-0c85-4349-871c-75fcaeb48a00" ] } ], "mendeley" : { "previouslyFormattedCitation" : "(G\u00f3mez et al., 2007)" }, "properties" : { "noteIndex" : 0 }, "schema" : "https://github.com/citation-style-language/schema/raw/master/csl-citation.json" }</w:instrText>
      </w:r>
      <w:r w:rsidR="003B0D24" w:rsidRPr="005D10C1">
        <w:rPr>
          <w:rFonts w:ascii="Candara" w:hAnsi="Candara"/>
        </w:rPr>
        <w:fldChar w:fldCharType="separate"/>
      </w:r>
      <w:r w:rsidRPr="005D10C1">
        <w:rPr>
          <w:rFonts w:ascii="Candara" w:hAnsi="Candara"/>
          <w:noProof/>
        </w:rPr>
        <w:t>(Gómez et al., 2007)</w:t>
      </w:r>
      <w:r w:rsidR="003B0D24" w:rsidRPr="005D10C1">
        <w:rPr>
          <w:rFonts w:ascii="Candara" w:hAnsi="Candara"/>
        </w:rPr>
        <w:fldChar w:fldCharType="end"/>
      </w:r>
      <w:r w:rsidRPr="005D10C1">
        <w:rPr>
          <w:rFonts w:ascii="Candara" w:hAnsi="Candara"/>
        </w:rPr>
        <w:t>.</w:t>
      </w:r>
    </w:p>
    <w:p w14:paraId="7F7CB22C" w14:textId="77777777" w:rsidR="00A214F3" w:rsidRPr="005D10C1" w:rsidRDefault="00A214F3" w:rsidP="00A214F3">
      <w:pPr>
        <w:spacing w:line="360" w:lineRule="auto"/>
        <w:rPr>
          <w:rFonts w:ascii="Candara" w:hAnsi="Candara"/>
        </w:rPr>
      </w:pPr>
    </w:p>
    <w:p w14:paraId="6DCC30F3" w14:textId="77777777" w:rsidR="005C00E5" w:rsidRPr="005D10C1" w:rsidRDefault="00A214F3" w:rsidP="005C00E5">
      <w:pPr>
        <w:spacing w:line="360" w:lineRule="auto"/>
        <w:rPr>
          <w:rFonts w:ascii="Candara" w:hAnsi="Candara"/>
        </w:rPr>
      </w:pPr>
      <w:r w:rsidRPr="005D10C1">
        <w:rPr>
          <w:rFonts w:ascii="Candara" w:hAnsi="Candara"/>
        </w:rPr>
        <w:t xml:space="preserve">El fenómeno </w:t>
      </w:r>
      <w:r w:rsidRPr="005D10C1">
        <w:rPr>
          <w:rFonts w:ascii="Candara" w:hAnsi="Candara"/>
          <w:i/>
        </w:rPr>
        <w:t xml:space="preserve">spin-off </w:t>
      </w:r>
      <w:r w:rsidRPr="005D10C1">
        <w:rPr>
          <w:rFonts w:ascii="Candara" w:hAnsi="Candara"/>
        </w:rPr>
        <w:t xml:space="preserve">se encuentra en etapas tempranas de su desarrollo, pues solo fue hasta finales de los 90’s que las universidades españolas se enfocaron con el fomento del emprendimiento </w:t>
      </w:r>
      <w:r w:rsidR="003B0D24" w:rsidRPr="005D10C1">
        <w:rPr>
          <w:rFonts w:ascii="Candara" w:hAnsi="Candara"/>
        </w:rPr>
        <w:fldChar w:fldCharType="begin" w:fldLock="1"/>
      </w:r>
      <w:r w:rsidRPr="005D10C1">
        <w:rPr>
          <w:rFonts w:ascii="Candara" w:hAnsi="Candara"/>
        </w:rPr>
        <w:instrText>ADDIN CSL_CITATION { "citationItems" : [ { "id" : "ITEM-1", "itemData" : { "ISBN" : "http://dialnet.unirioja.es/servlet/dcart?info=link&amp;codigo=716725&amp;orden=197306", "ISSN" : "0422-2784", "abstract" : "Los parques cient\u00edficos y tecnol\u00f3gicos est\u00e1n en constante evoluci\u00f3n por todo el mundo. En este trabajo se aborda el fen\u00f3meno, poniendo el \u00e9nfasis en el origen, objetivos, caracter\u00edsticas y ventajas adquiridas como instrumentos de pol\u00edtica industrial. En la segunda parte se plantean los principales modelos en el mundo. A continuaci\u00f3n, con datos recientes, se analiza la experiencia en Espa\u00f1a. Por \u00faltimo, unas reflexiones apoyadas en la observaci\u00f3n sistem\u00e1tica hacen referencia a las fronteras existentes. Los parques cient\u00edficos y tecnol\u00f3gicos localizan empresas de nuevas tecnolog\u00edas y sirven tanto para rehabilitar y recalificar \u00e1reas urbanas como para atraer proyectos de nuevo contenido industrial. Como nuevas infraestructuras concentradoras del conocimiento y la tecnolog\u00eda, son efectivos tejiendo redes, estableciendo flujos con el tejido social y creando empresas e industrias.", "author" : [ { "dropping-particle" : "", "family" : "Ondategui", "given" : "Julio C\u00e9sar", "non-dropping-particle" : "", "parse-names" : false, "suffix" : "" } ], "container-title" : "Econom\u00eda industrial", "id" : "ITEM-1", "issue" : "346", "issued" : { "date-parts" : [ [ "2002" ] ] }, "page" : "147-160", "publisher" : "Ministerio de Industria, Energ\u00eda y Turismo", "title" : "Parques cient\u00edficos e innovaci\u00f3n en Espa\u00f1a: quince a\u00f1os de experiencia", "type" : "article" }, "uris" : [ "http://www.mendeley.com/documents/?uuid=9cc5ccd6-8935-470f-b6f7-a68709098aa4" ] } ], "mendeley" : { "previouslyFormattedCitation" : "(Ondategui, 2002)" }, "properties" : { "noteIndex" : 0 }, "schema" : "https://github.com/citation-style-language/schema/raw/master/csl-citation.json" }</w:instrText>
      </w:r>
      <w:r w:rsidR="003B0D24" w:rsidRPr="005D10C1">
        <w:rPr>
          <w:rFonts w:ascii="Candara" w:hAnsi="Candara"/>
        </w:rPr>
        <w:fldChar w:fldCharType="separate"/>
      </w:r>
      <w:r w:rsidRPr="005D10C1">
        <w:rPr>
          <w:rFonts w:ascii="Candara" w:hAnsi="Candara"/>
          <w:noProof/>
        </w:rPr>
        <w:t>(Ondategui, 2002)</w:t>
      </w:r>
      <w:r w:rsidR="003B0D24" w:rsidRPr="005D10C1">
        <w:rPr>
          <w:rFonts w:ascii="Candara" w:hAnsi="Candara"/>
        </w:rPr>
        <w:fldChar w:fldCharType="end"/>
      </w:r>
      <w:r w:rsidRPr="005D10C1">
        <w:rPr>
          <w:rFonts w:ascii="Candara" w:hAnsi="Candara"/>
        </w:rPr>
        <w:t xml:space="preserve">. </w:t>
      </w:r>
      <w:r w:rsidR="00922E19" w:rsidRPr="005D10C1">
        <w:rPr>
          <w:rFonts w:ascii="Candara" w:hAnsi="Candara"/>
        </w:rPr>
        <w:t>L</w:t>
      </w:r>
      <w:r w:rsidR="00644174" w:rsidRPr="005D10C1">
        <w:rPr>
          <w:rFonts w:ascii="Candara" w:hAnsi="Candara"/>
        </w:rPr>
        <w:t xml:space="preserve">a formación de estas compañías se comenzó a dinamizar </w:t>
      </w:r>
      <w:r w:rsidR="00F9071B" w:rsidRPr="005D10C1">
        <w:rPr>
          <w:rFonts w:ascii="Candara" w:hAnsi="Candara"/>
        </w:rPr>
        <w:t xml:space="preserve">y a tomar más fuerza </w:t>
      </w:r>
      <w:r w:rsidR="00644174" w:rsidRPr="005D10C1">
        <w:rPr>
          <w:rFonts w:ascii="Candara" w:hAnsi="Candara"/>
        </w:rPr>
        <w:t xml:space="preserve">desde el año 2001, esto se debe a que </w:t>
      </w:r>
      <w:r w:rsidR="004838D0" w:rsidRPr="005D10C1">
        <w:rPr>
          <w:rFonts w:ascii="Candara" w:hAnsi="Candara"/>
        </w:rPr>
        <w:t xml:space="preserve">las universidades </w:t>
      </w:r>
      <w:r w:rsidR="009C3F8F" w:rsidRPr="005D10C1">
        <w:rPr>
          <w:rFonts w:ascii="Candara" w:hAnsi="Candara"/>
        </w:rPr>
        <w:t>púb</w:t>
      </w:r>
      <w:r w:rsidR="00922E19" w:rsidRPr="005D10C1">
        <w:rPr>
          <w:rFonts w:ascii="Candara" w:hAnsi="Candara"/>
        </w:rPr>
        <w:t>l</w:t>
      </w:r>
      <w:r w:rsidR="009C3F8F" w:rsidRPr="005D10C1">
        <w:rPr>
          <w:rFonts w:ascii="Candara" w:hAnsi="Candara"/>
        </w:rPr>
        <w:t xml:space="preserve">icas </w:t>
      </w:r>
      <w:r w:rsidR="004838D0" w:rsidRPr="005D10C1">
        <w:rPr>
          <w:rFonts w:ascii="Candara" w:hAnsi="Candara"/>
        </w:rPr>
        <w:t xml:space="preserve">han determinado </w:t>
      </w:r>
      <w:r w:rsidR="009C3F8F" w:rsidRPr="005D10C1">
        <w:rPr>
          <w:rFonts w:ascii="Candara" w:hAnsi="Candara"/>
        </w:rPr>
        <w:t xml:space="preserve">a las </w:t>
      </w:r>
      <w:r w:rsidR="009C3F8F" w:rsidRPr="005D10C1">
        <w:rPr>
          <w:rFonts w:ascii="Candara" w:hAnsi="Candara"/>
          <w:i/>
        </w:rPr>
        <w:t>spin-off</w:t>
      </w:r>
      <w:r w:rsidR="00513F6D" w:rsidRPr="005D10C1">
        <w:rPr>
          <w:rFonts w:ascii="Candara" w:hAnsi="Candara"/>
          <w:i/>
        </w:rPr>
        <w:t xml:space="preserve"> </w:t>
      </w:r>
      <w:r w:rsidR="004838D0" w:rsidRPr="005D10C1">
        <w:rPr>
          <w:rFonts w:ascii="Candara" w:hAnsi="Candara"/>
        </w:rPr>
        <w:t xml:space="preserve">como </w:t>
      </w:r>
      <w:r w:rsidR="00F016B0" w:rsidRPr="005D10C1">
        <w:rPr>
          <w:rFonts w:ascii="Candara" w:hAnsi="Candara"/>
        </w:rPr>
        <w:t xml:space="preserve">un </w:t>
      </w:r>
      <w:r w:rsidR="009C3F8F" w:rsidRPr="005D10C1">
        <w:rPr>
          <w:rFonts w:ascii="Candara" w:hAnsi="Candara"/>
        </w:rPr>
        <w:t xml:space="preserve">mecanismo </w:t>
      </w:r>
      <w:r w:rsidR="004838D0" w:rsidRPr="005D10C1">
        <w:rPr>
          <w:rFonts w:ascii="Candara" w:hAnsi="Candara"/>
        </w:rPr>
        <w:t xml:space="preserve">importante </w:t>
      </w:r>
      <w:r w:rsidR="009C3F8F" w:rsidRPr="005D10C1">
        <w:rPr>
          <w:rFonts w:ascii="Candara" w:hAnsi="Candara"/>
        </w:rPr>
        <w:t xml:space="preserve">para la explotación comercial del conocimiento acumulado en estas instituciones </w:t>
      </w:r>
      <w:r w:rsidR="003B0D24" w:rsidRPr="005D10C1">
        <w:rPr>
          <w:rFonts w:ascii="Candara" w:hAnsi="Candara"/>
        </w:rPr>
        <w:fldChar w:fldCharType="begin" w:fldLock="1"/>
      </w:r>
      <w:r w:rsidR="00CA1A09" w:rsidRPr="005D10C1">
        <w:rPr>
          <w:rFonts w:ascii="Candara" w:hAnsi="Candara"/>
        </w:rPr>
        <w:instrText>ADDIN CSL_CITATION { "citationItems" : [ { "id" : "ITEM-1", "itemData" : { "author" : [ { "dropping-particle" : "", "family" : "Ort\u00edn", "given" : "Pedro", "non-dropping-particle" : "", "parse-names" : false, "suffix" : "" }, { "dropping-particle" : "", "family" : "Salas", "given" : "Vicente", "non-dropping-particle" : "", "parse-names" : false, "suffix" : "" }, { "dropping-particle" : "", "family" : "Trujillo", "given" : "Maria", "non-dropping-particle" : "", "parse-names" : false, "suffix" : "" }, { "dropping-particle" : "", "family" : "Vendrell", "given" : "Ferran", "non-dropping-particle" : "", "parse-names" : false, "suffix" : "" } ], "id" : "ITEM-1", "issued" : { "date-parts" : [ [ "2007" ] ] }, "page" : "1-107", "title" : "El spin-off universitario en Espa\u00f1a como modelo de creaci\u00f3n de empresas", "type" : "report" }, "uris" : [ "http://www.mendeley.com/documents/?uuid=1fe222cc-a01b-49ce-ac28-2f8628d52d87" ] } ], "mendeley" : { "previouslyFormattedCitation" : "(Ort\u00edn, Salas, Trujillo, &amp; Vendrell, 2007)" }, "properties" : { "noteIndex" : 0 }, "schema" : "https://github.com/citation-style-language/schema/raw/master/csl-citation.json" }</w:instrText>
      </w:r>
      <w:r w:rsidR="003B0D24" w:rsidRPr="005D10C1">
        <w:rPr>
          <w:rFonts w:ascii="Candara" w:hAnsi="Candara"/>
        </w:rPr>
        <w:fldChar w:fldCharType="separate"/>
      </w:r>
      <w:r w:rsidR="009C3F8F" w:rsidRPr="005D10C1">
        <w:rPr>
          <w:rFonts w:ascii="Candara" w:hAnsi="Candara"/>
          <w:noProof/>
        </w:rPr>
        <w:t>(Ortín, Salas, Trujillo, &amp; Vendrell, 2007)</w:t>
      </w:r>
      <w:r w:rsidR="003B0D24" w:rsidRPr="005D10C1">
        <w:rPr>
          <w:rFonts w:ascii="Candara" w:hAnsi="Candara"/>
        </w:rPr>
        <w:fldChar w:fldCharType="end"/>
      </w:r>
      <w:r w:rsidR="009C3F8F" w:rsidRPr="005D10C1">
        <w:rPr>
          <w:rFonts w:ascii="Candara" w:hAnsi="Candara"/>
        </w:rPr>
        <w:t>.</w:t>
      </w:r>
    </w:p>
    <w:p w14:paraId="4D7EDAEE" w14:textId="77777777" w:rsidR="001A5CC5" w:rsidRPr="005D10C1" w:rsidRDefault="001A5CC5" w:rsidP="005C00E5">
      <w:pPr>
        <w:spacing w:line="360" w:lineRule="auto"/>
        <w:rPr>
          <w:rFonts w:ascii="Candara" w:hAnsi="Candara"/>
        </w:rPr>
      </w:pPr>
    </w:p>
    <w:p w14:paraId="16A1B1A8" w14:textId="77777777" w:rsidR="006C4EC3" w:rsidRPr="005D10C1" w:rsidRDefault="006C4EC3" w:rsidP="005C00E5">
      <w:pPr>
        <w:spacing w:line="360" w:lineRule="auto"/>
        <w:rPr>
          <w:rFonts w:ascii="Candara" w:hAnsi="Candara"/>
        </w:rPr>
      </w:pPr>
      <w:r w:rsidRPr="005D10C1">
        <w:rPr>
          <w:rFonts w:ascii="Candara" w:hAnsi="Candara"/>
        </w:rPr>
        <w:lastRenderedPageBreak/>
        <w:t xml:space="preserve">Las </w:t>
      </w:r>
      <w:r w:rsidRPr="005D10C1">
        <w:rPr>
          <w:rFonts w:ascii="Candara" w:hAnsi="Candara"/>
          <w:i/>
        </w:rPr>
        <w:t>spin-off</w:t>
      </w:r>
      <w:r w:rsidRPr="005D10C1">
        <w:rPr>
          <w:rFonts w:ascii="Candara" w:hAnsi="Candara"/>
        </w:rPr>
        <w:t xml:space="preserve"> en España muestran un comportamiento en crecimiento de acuerdo a los datos que se evidencian en la</w:t>
      </w:r>
      <w:r w:rsidR="008A4FE1" w:rsidRPr="005D10C1">
        <w:rPr>
          <w:rFonts w:ascii="Candara" w:hAnsi="Candara"/>
        </w:rPr>
        <w:t xml:space="preserve"> </w:t>
      </w:r>
      <w:r w:rsidR="00A57352">
        <w:fldChar w:fldCharType="begin"/>
      </w:r>
      <w:r w:rsidR="00A57352">
        <w:instrText xml:space="preserve"> REF _Ref367714591 \h  \* MERGEFORMAT </w:instrText>
      </w:r>
      <w:r w:rsidR="00A57352">
        <w:fldChar w:fldCharType="separate"/>
      </w:r>
      <w:r w:rsidR="005D10C1" w:rsidRPr="005D10C1">
        <w:rPr>
          <w:rFonts w:ascii="Candara" w:hAnsi="Candara"/>
        </w:rPr>
        <w:t>Ilustración 8</w:t>
      </w:r>
      <w:r w:rsidR="005D10C1" w:rsidRPr="005D10C1">
        <w:rPr>
          <w:rFonts w:ascii="Candara" w:hAnsi="Candara"/>
          <w:b/>
          <w:noProof/>
        </w:rPr>
        <w:t>: Número de Spin-Off creadas en España</w:t>
      </w:r>
      <w:r w:rsidR="00A57352">
        <w:fldChar w:fldCharType="end"/>
      </w:r>
      <w:r w:rsidR="006151F1" w:rsidRPr="005D10C1">
        <w:rPr>
          <w:rFonts w:ascii="Candara" w:hAnsi="Candara"/>
        </w:rPr>
        <w:t>, por ejemplo, estas empresas pasaron de 100 en 2008 a 118 en 2009 y 13</w:t>
      </w:r>
      <w:r w:rsidR="0038688E" w:rsidRPr="005D10C1">
        <w:rPr>
          <w:rFonts w:ascii="Candara" w:hAnsi="Candara"/>
        </w:rPr>
        <w:t>1</w:t>
      </w:r>
      <w:r w:rsidR="006151F1" w:rsidRPr="005D10C1">
        <w:rPr>
          <w:rFonts w:ascii="Candara" w:hAnsi="Candara"/>
        </w:rPr>
        <w:t xml:space="preserve"> en 2010</w:t>
      </w:r>
      <w:r w:rsidR="007004F0" w:rsidRPr="005D10C1">
        <w:rPr>
          <w:rFonts w:ascii="Candara" w:hAnsi="Candara"/>
        </w:rPr>
        <w:t xml:space="preserve"> </w:t>
      </w:r>
      <w:r w:rsidR="007004F0" w:rsidRPr="005D10C1">
        <w:rPr>
          <w:rFonts w:ascii="Candara" w:hAnsi="Candara"/>
          <w:b/>
          <w:noProof/>
        </w:rPr>
        <w:t xml:space="preserve"> </w:t>
      </w:r>
      <w:r w:rsidR="003B0D24" w:rsidRPr="005D10C1">
        <w:rPr>
          <w:rFonts w:ascii="Candara" w:hAnsi="Candara"/>
        </w:rPr>
        <w:fldChar w:fldCharType="begin" w:fldLock="1"/>
      </w:r>
      <w:r w:rsidR="007004F0" w:rsidRPr="005D10C1">
        <w:rPr>
          <w:rFonts w:ascii="Candara" w:hAnsi="Candara"/>
        </w:rPr>
        <w:instrText>ADDIN CSL_CITATION { "citationItems" : [ { "id" : "ITEM-1", "itemData" : { "author" : [ { "dropping-particle" : "", "family" : "RedOtri", "given" : "", "non-dropping-particle" : "", "parse-names" : false, "suffix" : "" } ], "id" : "ITEM-1", "issued" : { "date-parts" : [ [ "2011" ] ] }, "page" : "30", "title" : "Memoria RedOTRI 2011", "type" : "report" }, "uris" : [ "http://www.mendeley.com/documents/?uuid=9766a7f8-0422-4246-bfde-09ab1bcb3238" ] }, { "id" : "ITEM-2", "itemData" : { "author" : [ { "dropping-particle" : "", "family" : "Ort\u00edn", "given" : "Pedro", "non-dropping-particle" : "", "parse-names" : false, "suffix" : "" }, { "dropping-particle" : "", "family" : "Salas", "given" : "Vicente", "non-dropping-particle" : "", "parse-names" : false, "suffix" : "" }, { "dropping-particle" : "", "family" : "Trujillo", "given" : "Maria", "non-dropping-particle" : "", "parse-names" : false, "suffix" : "" }, { "dropping-particle" : "", "family" : "Vendrell", "given" : "Ferran", "non-dropping-particle" : "", "parse-names" : false, "suffix" : "" } ], "id" : "ITEM-2", "issued" : { "date-parts" : [ [ "2007" ] ] }, "page" : "1-107", "title" : "El spin-off universitario en Espa\u00f1a como modelo de creaci\u00f3n de empresas", "type" : "report" }, "uris" : [ "http://www.mendeley.com/documents/?uuid=1fe222cc-a01b-49ce-ac28-2f8628d52d87" ] } ], "mendeley" : { "previouslyFormattedCitation" : "(Ort\u00edn et al., 2007; RedOtri, 2011)" }, "properties" : { "noteIndex" : 0 }, "schema" : "https://github.com/citation-style-language/schema/raw/master/csl-citation.json" }</w:instrText>
      </w:r>
      <w:r w:rsidR="003B0D24" w:rsidRPr="005D10C1">
        <w:rPr>
          <w:rFonts w:ascii="Candara" w:hAnsi="Candara"/>
        </w:rPr>
        <w:fldChar w:fldCharType="separate"/>
      </w:r>
      <w:r w:rsidR="007004F0" w:rsidRPr="005D10C1">
        <w:rPr>
          <w:rFonts w:ascii="Candara" w:hAnsi="Candara"/>
          <w:noProof/>
        </w:rPr>
        <w:t>(Ortín et al., 2007; RedOtri, 2011)</w:t>
      </w:r>
      <w:r w:rsidR="003B0D24" w:rsidRPr="005D10C1">
        <w:rPr>
          <w:rFonts w:ascii="Candara" w:hAnsi="Candara"/>
        </w:rPr>
        <w:fldChar w:fldCharType="end"/>
      </w:r>
      <w:r w:rsidRPr="005D10C1">
        <w:rPr>
          <w:rFonts w:ascii="Candara" w:hAnsi="Candara"/>
        </w:rPr>
        <w:t>.</w:t>
      </w:r>
    </w:p>
    <w:p w14:paraId="542941A9" w14:textId="77777777" w:rsidR="006C4EC3" w:rsidRPr="005D10C1" w:rsidRDefault="006C4EC3" w:rsidP="005C00E5">
      <w:pPr>
        <w:spacing w:line="360" w:lineRule="auto"/>
        <w:rPr>
          <w:rFonts w:ascii="Candara" w:hAnsi="Candara"/>
        </w:rPr>
      </w:pPr>
    </w:p>
    <w:p w14:paraId="4DC8E31C" w14:textId="77777777" w:rsidR="006C4EC3" w:rsidRPr="005D10C1" w:rsidRDefault="007B5CA9" w:rsidP="006C4EC3">
      <w:pPr>
        <w:spacing w:line="360" w:lineRule="auto"/>
        <w:jc w:val="center"/>
        <w:rPr>
          <w:rFonts w:ascii="Candara" w:hAnsi="Candara"/>
        </w:rPr>
      </w:pPr>
      <w:r w:rsidRPr="005D10C1">
        <w:rPr>
          <w:rFonts w:ascii="Candara" w:hAnsi="Candara"/>
          <w:noProof/>
          <w:lang w:eastAsia="es-CO"/>
        </w:rPr>
        <w:drawing>
          <wp:inline distT="0" distB="0" distL="0" distR="0" wp14:anchorId="4A5100D6" wp14:editId="2099FD44">
            <wp:extent cx="4572000" cy="2743200"/>
            <wp:effectExtent l="0" t="0" r="0" b="0"/>
            <wp:docPr id="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2EBD8689" w14:textId="77777777" w:rsidR="006C4EC3" w:rsidRPr="005D10C1" w:rsidRDefault="004052DC" w:rsidP="004052DC">
      <w:pPr>
        <w:pStyle w:val="Descripcin"/>
        <w:rPr>
          <w:rFonts w:ascii="Candara" w:hAnsi="Candara"/>
          <w:b w:val="0"/>
          <w:color w:val="auto"/>
        </w:rPr>
      </w:pPr>
      <w:bookmarkStart w:id="264" w:name="_Ref367714591"/>
      <w:bookmarkStart w:id="265" w:name="_Toc374621198"/>
      <w:bookmarkStart w:id="266" w:name="_Toc377652599"/>
      <w:r w:rsidRPr="005D10C1">
        <w:rPr>
          <w:rFonts w:ascii="Candara" w:hAnsi="Candara"/>
          <w:b w:val="0"/>
          <w:noProof/>
          <w:color w:val="auto"/>
        </w:rPr>
        <w:t xml:space="preserve">Ilustración </w:t>
      </w:r>
      <w:r w:rsidR="003B0D24" w:rsidRPr="005D10C1">
        <w:rPr>
          <w:rFonts w:ascii="Candara" w:hAnsi="Candara"/>
          <w:b w:val="0"/>
          <w:noProof/>
          <w:color w:val="auto"/>
        </w:rPr>
        <w:fldChar w:fldCharType="begin"/>
      </w:r>
      <w:r w:rsidRPr="005D10C1">
        <w:rPr>
          <w:rFonts w:ascii="Candara" w:hAnsi="Candara"/>
          <w:b w:val="0"/>
          <w:noProof/>
          <w:color w:val="auto"/>
        </w:rPr>
        <w:instrText xml:space="preserve"> SEQ Ilustración \* ARABIC </w:instrText>
      </w:r>
      <w:r w:rsidR="003B0D24" w:rsidRPr="005D10C1">
        <w:rPr>
          <w:rFonts w:ascii="Candara" w:hAnsi="Candara"/>
          <w:b w:val="0"/>
          <w:noProof/>
          <w:color w:val="auto"/>
        </w:rPr>
        <w:fldChar w:fldCharType="separate"/>
      </w:r>
      <w:r w:rsidR="005D10C1">
        <w:rPr>
          <w:rFonts w:ascii="Candara" w:hAnsi="Candara"/>
          <w:b w:val="0"/>
          <w:noProof/>
          <w:color w:val="auto"/>
        </w:rPr>
        <w:t>8</w:t>
      </w:r>
      <w:r w:rsidR="003B0D24" w:rsidRPr="005D10C1">
        <w:rPr>
          <w:rFonts w:ascii="Candara" w:hAnsi="Candara"/>
          <w:b w:val="0"/>
          <w:noProof/>
          <w:color w:val="auto"/>
        </w:rPr>
        <w:fldChar w:fldCharType="end"/>
      </w:r>
      <w:r w:rsidRPr="005D10C1">
        <w:rPr>
          <w:rFonts w:ascii="Candara" w:hAnsi="Candara"/>
          <w:b w:val="0"/>
          <w:noProof/>
          <w:color w:val="auto"/>
        </w:rPr>
        <w:t>: Número de Spin-Off creadas en España</w:t>
      </w:r>
      <w:bookmarkEnd w:id="264"/>
      <w:bookmarkEnd w:id="265"/>
      <w:r w:rsidR="007004F0" w:rsidRPr="005D10C1">
        <w:rPr>
          <w:rFonts w:ascii="Candara" w:hAnsi="Candara"/>
          <w:b w:val="0"/>
          <w:noProof/>
          <w:color w:val="auto"/>
        </w:rPr>
        <w:t>.</w:t>
      </w:r>
      <w:bookmarkEnd w:id="266"/>
    </w:p>
    <w:p w14:paraId="37DEF5AF" w14:textId="77777777" w:rsidR="006C4EC3" w:rsidRPr="005D10C1" w:rsidRDefault="006C4EC3" w:rsidP="006C4EC3">
      <w:pPr>
        <w:spacing w:line="360" w:lineRule="auto"/>
        <w:jc w:val="center"/>
        <w:rPr>
          <w:rFonts w:ascii="Candara" w:hAnsi="Candara"/>
        </w:rPr>
      </w:pPr>
    </w:p>
    <w:p w14:paraId="7F841216" w14:textId="77777777" w:rsidR="001A5CC5" w:rsidRPr="005D10C1" w:rsidRDefault="000F13CF" w:rsidP="000F13CF">
      <w:pPr>
        <w:spacing w:line="360" w:lineRule="auto"/>
        <w:rPr>
          <w:rFonts w:ascii="Candara" w:hAnsi="Candara"/>
        </w:rPr>
      </w:pPr>
      <w:r w:rsidRPr="005D10C1">
        <w:rPr>
          <w:rFonts w:ascii="Candara" w:hAnsi="Candara"/>
        </w:rPr>
        <w:t xml:space="preserve">La guía para emprendedores de base tecnológica española define a las Empresas de Base Tecnológica aquellas que se basan en el dominio intensivo del conocimiento científico y tecnológico para mantener su competitividad y posición en el mercado. Se considera como una organización productora de bienes y servicios, comprometida con el diseño, desarrollo y producción de nuevos productos y/o procesos de fabricación innovadores, a través de la aplicación sistemáticade conocimientos técnicos y científicos. Como parte o división de las EBT se consideran a las </w:t>
      </w:r>
      <w:r w:rsidRPr="005D10C1">
        <w:rPr>
          <w:rFonts w:ascii="Candara" w:hAnsi="Candara"/>
          <w:i/>
        </w:rPr>
        <w:t xml:space="preserve">spin-off. </w:t>
      </w:r>
      <w:r w:rsidRPr="005D10C1">
        <w:rPr>
          <w:rFonts w:ascii="Candara" w:hAnsi="Candara"/>
        </w:rPr>
        <w:t xml:space="preserve">Las </w:t>
      </w:r>
      <w:r w:rsidRPr="005D10C1">
        <w:rPr>
          <w:rFonts w:ascii="Candara" w:hAnsi="Candara"/>
          <w:i/>
        </w:rPr>
        <w:t>Spin-off</w:t>
      </w:r>
      <w:r w:rsidRPr="005D10C1">
        <w:rPr>
          <w:rFonts w:ascii="Candara" w:hAnsi="Candara"/>
        </w:rPr>
        <w:t xml:space="preserve"> son nuevas organizaciones o entidades derivadas de una mayor; que ofrecen a los investigadores la posibilidad de llevar a la práctica empresarial sus proyectos, conocimientos y resultados de la I+D.</w:t>
      </w:r>
      <w:r w:rsidR="00215B1D" w:rsidRPr="005D10C1">
        <w:rPr>
          <w:rFonts w:ascii="Candara" w:hAnsi="Candara"/>
        </w:rPr>
        <w:t xml:space="preserve"> </w:t>
      </w:r>
      <w:r w:rsidR="003B0D24" w:rsidRPr="005D10C1">
        <w:rPr>
          <w:rFonts w:ascii="Candara" w:hAnsi="Candara"/>
        </w:rPr>
        <w:fldChar w:fldCharType="begin" w:fldLock="1"/>
      </w:r>
      <w:r w:rsidR="00CA1A09" w:rsidRPr="005D10C1">
        <w:rPr>
          <w:rFonts w:ascii="Candara" w:hAnsi="Candara"/>
        </w:rPr>
        <w:instrText>ADDIN CSL_CITATION { "citationItems" : [ { "id" : "ITEM-1", "itemData" : { "author" : [ { "dropping-particle" : "", "family" : "Diaz", "given" : "Eduardo", "non-dropping-particle" : "", "parse-names" : false, "suffix" : "" }, { "dropping-particle" : "", "family" : "G\u00f3mez", "given" : "Carlos", "non-dropping-particle" : "", "parse-names" : false, "suffix" : "" }, { "dropping-particle" : "", "family" : "Cuervo", "given" : "Javier", "non-dropping-particle" : "", "parse-names" : false, "suffix" : "" }, { "dropping-particle" : "", "family" : "la Sota", "given" : "Jos\u00e9", "non-dropping-particle" : "De", "parse-names" : false, "suffix" : "" } ], "id" : "ITEM-1", "issued" : { "date-parts" : [ [ "2007" ] ] }, "page" : "155", "publisher-place" : "Madrid", "title" : "Gu\u00eda para emprendedores de base tecnol\u00f3gica", "type" : "article" }, "uris" : [ "http://www.mendeley.com/documents/?uuid=f7425267-d811-411f-a08b-7f335ddd736a" ] } ], "mendeley" : { "previouslyFormattedCitation" : "(Diaz, G\u00f3mez, Cuervo, &amp; De la Sota, 2007)" }, "properties" : { "noteIndex" : 0 }, "schema" : "https://github.com/citation-style-language/schema/raw/master/csl-citation.json" }</w:instrText>
      </w:r>
      <w:r w:rsidR="003B0D24" w:rsidRPr="005D10C1">
        <w:rPr>
          <w:rFonts w:ascii="Candara" w:hAnsi="Candara"/>
        </w:rPr>
        <w:fldChar w:fldCharType="separate"/>
      </w:r>
      <w:r w:rsidR="001B3087" w:rsidRPr="005D10C1">
        <w:rPr>
          <w:rFonts w:ascii="Candara" w:hAnsi="Candara"/>
          <w:noProof/>
        </w:rPr>
        <w:t>(Diaz, Gómez, Cuervo, &amp; De la Sota, 2007)</w:t>
      </w:r>
      <w:r w:rsidR="003B0D24" w:rsidRPr="005D10C1">
        <w:rPr>
          <w:rFonts w:ascii="Candara" w:hAnsi="Candara"/>
        </w:rPr>
        <w:fldChar w:fldCharType="end"/>
      </w:r>
      <w:r w:rsidR="001A5CC5" w:rsidRPr="005D10C1">
        <w:rPr>
          <w:rFonts w:ascii="Candara" w:hAnsi="Candara"/>
        </w:rPr>
        <w:t>.</w:t>
      </w:r>
    </w:p>
    <w:p w14:paraId="08B6DC31" w14:textId="77777777" w:rsidR="005C00E5" w:rsidRPr="005D10C1" w:rsidRDefault="005C00E5" w:rsidP="005C00E5">
      <w:pPr>
        <w:spacing w:line="360" w:lineRule="auto"/>
        <w:rPr>
          <w:rFonts w:ascii="Candara" w:hAnsi="Candara"/>
        </w:rPr>
      </w:pPr>
    </w:p>
    <w:p w14:paraId="6A2A0390" w14:textId="77777777" w:rsidR="005C00E5" w:rsidRPr="005D10C1" w:rsidRDefault="005C00E5" w:rsidP="005C00E5">
      <w:pPr>
        <w:pStyle w:val="Ttulo3"/>
        <w:rPr>
          <w:rFonts w:ascii="Candara" w:hAnsi="Candara"/>
          <w:color w:val="auto"/>
        </w:rPr>
      </w:pPr>
      <w:bookmarkStart w:id="267" w:name="_Toc377653153"/>
      <w:r w:rsidRPr="005D10C1">
        <w:rPr>
          <w:rFonts w:ascii="Candara" w:hAnsi="Candara"/>
          <w:color w:val="auto"/>
        </w:rPr>
        <w:t>Naturaleza y desarrollo del sistema de innovación</w:t>
      </w:r>
      <w:bookmarkEnd w:id="267"/>
    </w:p>
    <w:p w14:paraId="68D79B41" w14:textId="77777777" w:rsidR="005C00E5" w:rsidRPr="005D10C1" w:rsidRDefault="005C00E5" w:rsidP="00AC7435">
      <w:pPr>
        <w:spacing w:line="360" w:lineRule="auto"/>
        <w:rPr>
          <w:rFonts w:ascii="Candara" w:hAnsi="Candara"/>
        </w:rPr>
      </w:pPr>
    </w:p>
    <w:p w14:paraId="326BF4B1" w14:textId="77777777" w:rsidR="00775313" w:rsidRPr="005D10C1" w:rsidRDefault="00775313" w:rsidP="00AC7435">
      <w:pPr>
        <w:spacing w:line="360" w:lineRule="auto"/>
        <w:rPr>
          <w:rFonts w:ascii="Candara" w:hAnsi="Candara"/>
        </w:rPr>
      </w:pPr>
      <w:r w:rsidRPr="005D10C1">
        <w:rPr>
          <w:rFonts w:ascii="Candara" w:hAnsi="Candara"/>
        </w:rPr>
        <w:t>El S</w:t>
      </w:r>
      <w:r w:rsidR="0021465D" w:rsidRPr="005D10C1">
        <w:rPr>
          <w:rFonts w:ascii="Candara" w:hAnsi="Candara"/>
        </w:rPr>
        <w:t xml:space="preserve">istema </w:t>
      </w:r>
      <w:r w:rsidRPr="005D10C1">
        <w:rPr>
          <w:rFonts w:ascii="Candara" w:hAnsi="Candara"/>
        </w:rPr>
        <w:t>N</w:t>
      </w:r>
      <w:r w:rsidR="0021465D" w:rsidRPr="005D10C1">
        <w:rPr>
          <w:rFonts w:ascii="Candara" w:hAnsi="Candara"/>
        </w:rPr>
        <w:t xml:space="preserve">acional de </w:t>
      </w:r>
      <w:r w:rsidRPr="005D10C1">
        <w:rPr>
          <w:rFonts w:ascii="Candara" w:hAnsi="Candara"/>
        </w:rPr>
        <w:t>I</w:t>
      </w:r>
      <w:r w:rsidR="0021465D" w:rsidRPr="005D10C1">
        <w:rPr>
          <w:rFonts w:ascii="Candara" w:hAnsi="Candara"/>
        </w:rPr>
        <w:t>nnovación</w:t>
      </w:r>
      <w:r w:rsidR="001E3382" w:rsidRPr="005D10C1">
        <w:rPr>
          <w:rFonts w:ascii="Candara" w:hAnsi="Candara"/>
        </w:rPr>
        <w:t xml:space="preserve"> </w:t>
      </w:r>
      <w:r w:rsidR="00153F16" w:rsidRPr="005D10C1">
        <w:rPr>
          <w:rFonts w:ascii="Candara" w:hAnsi="Candara"/>
        </w:rPr>
        <w:t>se institucionaliz</w:t>
      </w:r>
      <w:r w:rsidR="000E26C8" w:rsidRPr="005D10C1">
        <w:rPr>
          <w:rFonts w:ascii="Candara" w:hAnsi="Candara"/>
        </w:rPr>
        <w:t>ó a partir de 1986 mediante la Ley de Investigación Científica y Tecnológica –Ley 13/1986</w:t>
      </w:r>
      <w:r w:rsidR="00196701" w:rsidRPr="005D10C1">
        <w:rPr>
          <w:rFonts w:ascii="Candara" w:hAnsi="Candara"/>
        </w:rPr>
        <w:t>, también conocida como la Ley de Ciencia</w:t>
      </w:r>
      <w:r w:rsidR="00153F16" w:rsidRPr="005D10C1">
        <w:rPr>
          <w:rFonts w:ascii="Candara" w:hAnsi="Candara"/>
        </w:rPr>
        <w:t xml:space="preserve">. Este sistema </w:t>
      </w:r>
      <w:r w:rsidRPr="005D10C1">
        <w:rPr>
          <w:rFonts w:ascii="Candara" w:hAnsi="Candara"/>
        </w:rPr>
        <w:t>cuenta con la participación de instituciones científicas —universidades y organismos públicos de investigación (OPI)—, que se ocupan preferentemente de la elaboración del conocimiento abstracto, y las empresas innovadoras, en las que se ubican sobre todo las tareas de investigación, diseño e ingeniería volcadas sobre el conocimiento concreto asociado a los problemas productivos. También pertenecen a él las instituciones públicas o privadas que ofertan servicios de intermediación entre las mencionadas, lo que permite encauzar los recursos financieros hacia los proyectos de investigación o de inversión empresarial innovadora o ejercen un papel de ordenación del sistema</w:t>
      </w:r>
      <w:r w:rsidR="003B0D24" w:rsidRPr="005D10C1">
        <w:rPr>
          <w:rFonts w:ascii="Candara" w:hAnsi="Candara"/>
        </w:rPr>
        <w:fldChar w:fldCharType="begin" w:fldLock="1"/>
      </w:r>
      <w:r w:rsidR="00CA1A09" w:rsidRPr="005D10C1">
        <w:rPr>
          <w:rFonts w:ascii="Candara" w:hAnsi="Candara"/>
        </w:rPr>
        <w:instrText>ADDIN CSL_CITATION { "citationItems" : [ { "id" : "ITEM-1", "itemData" : { "author" : [ { "dropping-particle" : "", "family" : "Buesa", "given" : "Mikel", "non-dropping-particle" : "", "parse-names" : false, "suffix" : "" } ], "container-title" : "Innovaci\u00f3n y competitividad", "id" : "ITEM-1", "issued" : { "date-parts" : [ [ "2012" ] ] }, "page" : "7-42", "title" : "El Sistema Nacional de Innovaci\u00f3n en Espa\u00f1a: Un Panorama", "type" : "article-journal" }, "uris" : [ "http://www.mendeley.com/documents/?uuid=5323dbce-a335-4679-bc96-80af744d3b83", "http://www.mendeley.com/documents/?uuid=6f32caff-f06b-4ae1-9cbb-564cd7f4debd" ] } ], "mendeley" : { "previouslyFormattedCitation" : "(Buesa, 2012)" }, "properties" : { "noteIndex" : 0 }, "schema" : "https://github.com/citation-style-language/schema/raw/master/csl-citation.json" }</w:instrText>
      </w:r>
      <w:r w:rsidR="003B0D24" w:rsidRPr="005D10C1">
        <w:rPr>
          <w:rFonts w:ascii="Candara" w:hAnsi="Candara"/>
        </w:rPr>
        <w:fldChar w:fldCharType="separate"/>
      </w:r>
      <w:r w:rsidR="0021465D" w:rsidRPr="005D10C1">
        <w:rPr>
          <w:rFonts w:ascii="Candara" w:hAnsi="Candara"/>
          <w:noProof/>
        </w:rPr>
        <w:t>(Buesa, 2012)</w:t>
      </w:r>
      <w:r w:rsidR="003B0D24" w:rsidRPr="005D10C1">
        <w:rPr>
          <w:rFonts w:ascii="Candara" w:hAnsi="Candara"/>
        </w:rPr>
        <w:fldChar w:fldCharType="end"/>
      </w:r>
      <w:r w:rsidRPr="005D10C1">
        <w:rPr>
          <w:rFonts w:ascii="Candara" w:hAnsi="Candara"/>
        </w:rPr>
        <w:t>.</w:t>
      </w:r>
    </w:p>
    <w:p w14:paraId="7296E93D" w14:textId="77777777" w:rsidR="0021465D" w:rsidRPr="005D10C1" w:rsidRDefault="0021465D" w:rsidP="00AC7435">
      <w:pPr>
        <w:spacing w:line="360" w:lineRule="auto"/>
        <w:rPr>
          <w:rFonts w:ascii="Candara" w:hAnsi="Candara"/>
        </w:rPr>
      </w:pPr>
    </w:p>
    <w:p w14:paraId="227EB92E" w14:textId="77777777" w:rsidR="0021465D" w:rsidRPr="005D10C1" w:rsidRDefault="000D1911" w:rsidP="00AC7435">
      <w:pPr>
        <w:spacing w:line="360" w:lineRule="auto"/>
        <w:rPr>
          <w:rFonts w:ascii="Candara" w:hAnsi="Candara"/>
        </w:rPr>
      </w:pPr>
      <w:r w:rsidRPr="005D10C1">
        <w:rPr>
          <w:rFonts w:ascii="Candara" w:hAnsi="Candara"/>
        </w:rPr>
        <w:t xml:space="preserve">A su vez </w:t>
      </w:r>
      <w:r w:rsidR="008A1FEF" w:rsidRPr="005D10C1">
        <w:rPr>
          <w:rFonts w:ascii="Candara" w:hAnsi="Candara"/>
        </w:rPr>
        <w:t>este sistema</w:t>
      </w:r>
      <w:r w:rsidR="00D1514E" w:rsidRPr="005D10C1">
        <w:rPr>
          <w:rFonts w:ascii="Candara" w:hAnsi="Candara"/>
        </w:rPr>
        <w:t xml:space="preserve"> cuenta con </w:t>
      </w:r>
      <w:r w:rsidR="00D840C6" w:rsidRPr="005D10C1">
        <w:rPr>
          <w:rFonts w:ascii="Candara" w:hAnsi="Candara"/>
        </w:rPr>
        <w:t>recursos que la sociedad destina a sus actividades de generación de conocimiento. La forma en que el</w:t>
      </w:r>
      <w:r w:rsidR="00775313" w:rsidRPr="005D10C1">
        <w:rPr>
          <w:rFonts w:ascii="Candara" w:hAnsi="Candara"/>
        </w:rPr>
        <w:t xml:space="preserve"> sistema mide dichos recursos es por medio de</w:t>
      </w:r>
      <w:r w:rsidR="00D840C6" w:rsidRPr="005D10C1">
        <w:rPr>
          <w:rFonts w:ascii="Candara" w:hAnsi="Candara"/>
        </w:rPr>
        <w:t xml:space="preserve"> los indicadores de </w:t>
      </w:r>
      <w:r w:rsidR="00D1514E" w:rsidRPr="005D10C1">
        <w:rPr>
          <w:rFonts w:ascii="Candara" w:hAnsi="Candara"/>
        </w:rPr>
        <w:t>gasto total en I+D,</w:t>
      </w:r>
      <w:r w:rsidR="00D840C6" w:rsidRPr="005D10C1">
        <w:rPr>
          <w:rFonts w:ascii="Candara" w:hAnsi="Candara"/>
        </w:rPr>
        <w:t xml:space="preserve"> stock de capital científico y tecnológico, personal ocupado en I+D e investigadores</w:t>
      </w:r>
      <w:r w:rsidR="00651A3A" w:rsidRPr="005D10C1">
        <w:rPr>
          <w:rFonts w:ascii="Candara" w:hAnsi="Candara"/>
        </w:rPr>
        <w:t xml:space="preserve"> </w:t>
      </w:r>
      <w:r w:rsidR="003B0D24" w:rsidRPr="005D10C1">
        <w:rPr>
          <w:rFonts w:ascii="Candara" w:hAnsi="Candara"/>
        </w:rPr>
        <w:fldChar w:fldCharType="begin" w:fldLock="1"/>
      </w:r>
      <w:r w:rsidR="00CA1A09" w:rsidRPr="005D10C1">
        <w:rPr>
          <w:rFonts w:ascii="Candara" w:hAnsi="Candara"/>
        </w:rPr>
        <w:instrText>ADDIN CSL_CITATION { "citationItems" : [ { "id" : "ITEM-1", "itemData" : { "URL" : "http://www.madrimasd.org/revista/revistaespecial1/articulos/buesa.asp", "accessed" : { "date-parts" : [ [ "2013", "9", "18" ] ] }, "author" : [ { "dropping-particle" : "", "family" : "Buesa", "given" : "Mikel", "non-dropping-particle" : "", "parse-names" : false, "suffix" : "" } ], "container-title" : "Revista Madri+d N\u00famero Especial. 20 A\u00d1OS DE LA LEY DE LA CIENCIA.", "id" : "ITEM-1", "issued" : { "date-parts" : [ [ "2006" ] ] }, "title" : "El Sistema Nacional de Innovaci\u00f3n en Espa\u00f1a", "type" : "webpage" }, "uris" : [ "http://www.mendeley.com/documents/?uuid=2cd1e7f7-9f42-42a7-be7e-2f5508ecfaf0" ] } ], "mendeley" : { "previouslyFormattedCitation" : "(Buesa, 2006)" }, "properties" : { "noteIndex" : 0 }, "schema" : "https://github.com/citation-style-language/schema/raw/master/csl-citation.json" }</w:instrText>
      </w:r>
      <w:r w:rsidR="003B0D24" w:rsidRPr="005D10C1">
        <w:rPr>
          <w:rFonts w:ascii="Candara" w:hAnsi="Candara"/>
        </w:rPr>
        <w:fldChar w:fldCharType="separate"/>
      </w:r>
      <w:r w:rsidR="00ED2055" w:rsidRPr="005D10C1">
        <w:rPr>
          <w:rFonts w:ascii="Candara" w:hAnsi="Candara"/>
          <w:noProof/>
        </w:rPr>
        <w:t>(Buesa, 2006)</w:t>
      </w:r>
      <w:r w:rsidR="003B0D24" w:rsidRPr="005D10C1">
        <w:rPr>
          <w:rFonts w:ascii="Candara" w:hAnsi="Candara"/>
        </w:rPr>
        <w:fldChar w:fldCharType="end"/>
      </w:r>
      <w:r w:rsidRPr="005D10C1">
        <w:rPr>
          <w:rFonts w:ascii="Candara" w:hAnsi="Candara"/>
        </w:rPr>
        <w:t>.</w:t>
      </w:r>
    </w:p>
    <w:p w14:paraId="7292E277" w14:textId="77777777" w:rsidR="000D1911" w:rsidRPr="005D10C1" w:rsidRDefault="000D1911" w:rsidP="00AC7435">
      <w:pPr>
        <w:spacing w:line="360" w:lineRule="auto"/>
        <w:rPr>
          <w:rFonts w:ascii="Candara" w:hAnsi="Candara"/>
        </w:rPr>
      </w:pPr>
    </w:p>
    <w:p w14:paraId="0806D762" w14:textId="77777777" w:rsidR="000D2904" w:rsidRPr="005D10C1" w:rsidRDefault="000D2904" w:rsidP="00AC7435">
      <w:pPr>
        <w:spacing w:line="360" w:lineRule="auto"/>
        <w:rPr>
          <w:rFonts w:ascii="Candara" w:hAnsi="Candara"/>
        </w:rPr>
      </w:pPr>
      <w:r w:rsidRPr="005D10C1">
        <w:rPr>
          <w:rFonts w:ascii="Candara" w:hAnsi="Candara"/>
        </w:rPr>
        <w:t>La investigación científica que se desarrolla principa</w:t>
      </w:r>
      <w:r w:rsidR="00AB144F" w:rsidRPr="005D10C1">
        <w:rPr>
          <w:rFonts w:ascii="Candara" w:hAnsi="Candara"/>
        </w:rPr>
        <w:t xml:space="preserve">lmente </w:t>
      </w:r>
      <w:r w:rsidR="002B6ECF" w:rsidRPr="005D10C1">
        <w:rPr>
          <w:rFonts w:ascii="Candara" w:hAnsi="Candara"/>
        </w:rPr>
        <w:t>por 8</w:t>
      </w:r>
      <w:r w:rsidR="00AB144F" w:rsidRPr="005D10C1">
        <w:rPr>
          <w:rFonts w:ascii="Candara" w:hAnsi="Candara"/>
        </w:rPr>
        <w:t xml:space="preserve"> O</w:t>
      </w:r>
      <w:r w:rsidR="001A1D72" w:rsidRPr="005D10C1">
        <w:rPr>
          <w:rFonts w:ascii="Candara" w:hAnsi="Candara"/>
        </w:rPr>
        <w:t xml:space="preserve">rganismos Públicos de </w:t>
      </w:r>
      <w:r w:rsidR="00AB144F" w:rsidRPr="005D10C1">
        <w:rPr>
          <w:rFonts w:ascii="Candara" w:hAnsi="Candara"/>
        </w:rPr>
        <w:t>I</w:t>
      </w:r>
      <w:r w:rsidR="001A1D72" w:rsidRPr="005D10C1">
        <w:rPr>
          <w:rFonts w:ascii="Candara" w:hAnsi="Candara"/>
        </w:rPr>
        <w:t>nvestigación (OPIs)</w:t>
      </w:r>
      <w:r w:rsidR="00DB43F8" w:rsidRPr="005D10C1">
        <w:rPr>
          <w:rFonts w:ascii="Candara" w:hAnsi="Candara"/>
        </w:rPr>
        <w:t>,</w:t>
      </w:r>
      <w:r w:rsidR="00AB144F" w:rsidRPr="005D10C1">
        <w:rPr>
          <w:rFonts w:ascii="Candara" w:hAnsi="Candara"/>
        </w:rPr>
        <w:t xml:space="preserve"> </w:t>
      </w:r>
      <w:r w:rsidR="00DB43F8" w:rsidRPr="005D10C1">
        <w:rPr>
          <w:rFonts w:ascii="Candara" w:hAnsi="Candara"/>
        </w:rPr>
        <w:t>49</w:t>
      </w:r>
      <w:r w:rsidR="00AB144F" w:rsidRPr="005D10C1">
        <w:rPr>
          <w:rFonts w:ascii="Candara" w:hAnsi="Candara"/>
        </w:rPr>
        <w:t xml:space="preserve"> u</w:t>
      </w:r>
      <w:r w:rsidRPr="005D10C1">
        <w:rPr>
          <w:rFonts w:ascii="Candara" w:hAnsi="Candara"/>
        </w:rPr>
        <w:t>niversidades</w:t>
      </w:r>
      <w:r w:rsidR="009316C8" w:rsidRPr="005D10C1">
        <w:rPr>
          <w:rFonts w:ascii="Candara" w:hAnsi="Candara"/>
        </w:rPr>
        <w:t xml:space="preserve"> </w:t>
      </w:r>
      <w:r w:rsidR="00DB43F8" w:rsidRPr="005D10C1">
        <w:rPr>
          <w:rFonts w:ascii="Candara" w:hAnsi="Candara"/>
        </w:rPr>
        <w:t>públicas y</w:t>
      </w:r>
      <w:r w:rsidR="009316C8" w:rsidRPr="005D10C1">
        <w:rPr>
          <w:rFonts w:ascii="Candara" w:hAnsi="Candara"/>
        </w:rPr>
        <w:t xml:space="preserve"> 26 </w:t>
      </w:r>
      <w:r w:rsidR="00DB43F8" w:rsidRPr="005D10C1">
        <w:rPr>
          <w:rFonts w:ascii="Candara" w:hAnsi="Candara"/>
        </w:rPr>
        <w:t>universidades p</w:t>
      </w:r>
      <w:r w:rsidR="009316C8" w:rsidRPr="005D10C1">
        <w:rPr>
          <w:rFonts w:ascii="Candara" w:hAnsi="Candara"/>
        </w:rPr>
        <w:t xml:space="preserve">rivadas </w:t>
      </w:r>
      <w:r w:rsidR="003B0D24" w:rsidRPr="005D10C1">
        <w:rPr>
          <w:rFonts w:ascii="Candara" w:hAnsi="Candara"/>
        </w:rPr>
        <w:fldChar w:fldCharType="begin" w:fldLock="1"/>
      </w:r>
      <w:r w:rsidR="00CA1A09" w:rsidRPr="005D10C1">
        <w:rPr>
          <w:rFonts w:ascii="Candara" w:hAnsi="Candara"/>
        </w:rPr>
        <w:instrText>ADDIN CSL_CITATION { "citationItems" : [ { "id" : "ITEM-1", "itemData" : { "URL" : "http://www.universidad.es/es/en-espana/estudiar-en-espana/universidades-de-espana", "author" : [ { "dropping-particle" : "", "family" : "Ministerio de Educaci\u00f3n Cultura y Deporte", "given" : "", "non-dropping-particle" : "", "parse-names" : false, "suffix" : "" } ], "id" : "ITEM-1", "issued" : { "date-parts" : [ [ "2013" ] ] }, "title" : "Universidades de Espa\u00f1a", "type" : "webpage" }, "uris" : [ "http://www.mendeley.com/documents/?uuid=b1edf876-47f3-44db-9d08-07ac6ae04821" ] } ], "mendeley" : { "previouslyFormattedCitation" : "(Ministerio de Educaci\u00f3n Cultura y Deporte, 2013)" }, "properties" : { "noteIndex" : 0 }, "schema" : "https://github.com/citation-style-language/schema/raw/master/csl-citation.json" }</w:instrText>
      </w:r>
      <w:r w:rsidR="003B0D24" w:rsidRPr="005D10C1">
        <w:rPr>
          <w:rFonts w:ascii="Candara" w:hAnsi="Candara"/>
        </w:rPr>
        <w:fldChar w:fldCharType="separate"/>
      </w:r>
      <w:r w:rsidR="009316C8" w:rsidRPr="005D10C1">
        <w:rPr>
          <w:rFonts w:ascii="Candara" w:hAnsi="Candara"/>
          <w:noProof/>
        </w:rPr>
        <w:t>(Ministerio de Educación Cultura y Deporte, 2013)</w:t>
      </w:r>
      <w:r w:rsidR="003B0D24" w:rsidRPr="005D10C1">
        <w:rPr>
          <w:rFonts w:ascii="Candara" w:hAnsi="Candara"/>
        </w:rPr>
        <w:fldChar w:fldCharType="end"/>
      </w:r>
      <w:r w:rsidRPr="005D10C1">
        <w:rPr>
          <w:rFonts w:ascii="Candara" w:hAnsi="Candara"/>
        </w:rPr>
        <w:t xml:space="preserve">, se orienta a la obtención de un conocimiento general, de naturaleza abstracta, no específicamente vinculado a los problemas de la producción de bienes y servicios. La forma en que se evalúan en el </w:t>
      </w:r>
      <w:r w:rsidR="000A0280" w:rsidRPr="005D10C1">
        <w:rPr>
          <w:rFonts w:ascii="Candara" w:hAnsi="Candara"/>
        </w:rPr>
        <w:t>Sistema Nacional de Innovación</w:t>
      </w:r>
      <w:r w:rsidR="0032563E" w:rsidRPr="005D10C1">
        <w:rPr>
          <w:rFonts w:ascii="Candara" w:hAnsi="Candara"/>
        </w:rPr>
        <w:t xml:space="preserve"> </w:t>
      </w:r>
      <w:r w:rsidRPr="005D10C1">
        <w:rPr>
          <w:rFonts w:ascii="Candara" w:hAnsi="Candara"/>
        </w:rPr>
        <w:t xml:space="preserve">los recursos de estas entidades es </w:t>
      </w:r>
      <w:r w:rsidR="008930EE" w:rsidRPr="005D10C1">
        <w:rPr>
          <w:rFonts w:ascii="Candara" w:hAnsi="Candara"/>
        </w:rPr>
        <w:t>mediante</w:t>
      </w:r>
      <w:r w:rsidRPr="005D10C1">
        <w:rPr>
          <w:rFonts w:ascii="Candara" w:hAnsi="Candara"/>
        </w:rPr>
        <w:t xml:space="preserve"> </w:t>
      </w:r>
      <w:r w:rsidR="00414112" w:rsidRPr="005D10C1">
        <w:rPr>
          <w:rFonts w:ascii="Candara" w:hAnsi="Candara"/>
        </w:rPr>
        <w:t>la cantidad</w:t>
      </w:r>
      <w:r w:rsidRPr="005D10C1">
        <w:rPr>
          <w:rFonts w:ascii="Candara" w:hAnsi="Candara"/>
        </w:rPr>
        <w:t xml:space="preserve"> </w:t>
      </w:r>
      <w:r w:rsidRPr="005D10C1">
        <w:rPr>
          <w:rFonts w:ascii="Candara" w:hAnsi="Candara"/>
        </w:rPr>
        <w:lastRenderedPageBreak/>
        <w:t>de organismos (OPI</w:t>
      </w:r>
      <w:r w:rsidR="001A1D72" w:rsidRPr="005D10C1">
        <w:rPr>
          <w:rFonts w:ascii="Candara" w:hAnsi="Candara"/>
        </w:rPr>
        <w:t>s</w:t>
      </w:r>
      <w:r w:rsidRPr="005D10C1">
        <w:rPr>
          <w:rFonts w:ascii="Candara" w:hAnsi="Candara"/>
        </w:rPr>
        <w:t xml:space="preserve"> y universidades) que hacen I+D y el respectivo gasto que hacen en </w:t>
      </w:r>
      <w:r w:rsidR="00AB144F" w:rsidRPr="005D10C1">
        <w:rPr>
          <w:rFonts w:ascii="Candara" w:hAnsi="Candara"/>
        </w:rPr>
        <w:t>cada uno de estos organismos</w:t>
      </w:r>
      <w:r w:rsidRPr="005D10C1">
        <w:rPr>
          <w:rFonts w:ascii="Candara" w:hAnsi="Candara"/>
        </w:rPr>
        <w:t>.</w:t>
      </w:r>
    </w:p>
    <w:p w14:paraId="098190AA" w14:textId="77777777" w:rsidR="000D2904" w:rsidRPr="005D10C1" w:rsidRDefault="000D2904" w:rsidP="00AC7435">
      <w:pPr>
        <w:spacing w:line="360" w:lineRule="auto"/>
        <w:rPr>
          <w:rFonts w:ascii="Candara" w:hAnsi="Candara"/>
        </w:rPr>
      </w:pPr>
    </w:p>
    <w:p w14:paraId="4A9776DD" w14:textId="77777777" w:rsidR="00153F16" w:rsidRPr="005D10C1" w:rsidRDefault="00460DAF" w:rsidP="008E443D">
      <w:pPr>
        <w:spacing w:line="360" w:lineRule="auto"/>
        <w:ind w:left="708" w:hanging="708"/>
        <w:rPr>
          <w:rFonts w:ascii="Candara" w:hAnsi="Candara"/>
        </w:rPr>
      </w:pPr>
      <w:r w:rsidRPr="005D10C1">
        <w:rPr>
          <w:rFonts w:ascii="Candara" w:hAnsi="Candara"/>
        </w:rPr>
        <w:t>La ley de</w:t>
      </w:r>
      <w:r w:rsidR="000E26C8" w:rsidRPr="005D10C1">
        <w:rPr>
          <w:rFonts w:ascii="Candara" w:hAnsi="Candara"/>
        </w:rPr>
        <w:t xml:space="preserve"> la C</w:t>
      </w:r>
      <w:r w:rsidRPr="005D10C1">
        <w:rPr>
          <w:rFonts w:ascii="Candara" w:hAnsi="Candara"/>
        </w:rPr>
        <w:t>iencia de 1986 es reemplazada por la Ley 14/2011, de la Ciencia, la Tecnología y la Innovación</w:t>
      </w:r>
      <w:r w:rsidR="00F15B69" w:rsidRPr="005D10C1">
        <w:rPr>
          <w:rFonts w:ascii="Candara" w:hAnsi="Candara"/>
        </w:rPr>
        <w:t>, l</w:t>
      </w:r>
      <w:r w:rsidRPr="005D10C1">
        <w:rPr>
          <w:rFonts w:ascii="Candara" w:hAnsi="Candara"/>
        </w:rPr>
        <w:t>a cual permite que l</w:t>
      </w:r>
      <w:r w:rsidR="00CB0CB5" w:rsidRPr="005D10C1">
        <w:rPr>
          <w:rFonts w:ascii="Candara" w:hAnsi="Candara"/>
        </w:rPr>
        <w:t xml:space="preserve">a política de ciencia, tecnología e innovación de la Administración General del Estado y la articulación de las actuaciones de fomento y la coordinación de la investigación científica y técnica se </w:t>
      </w:r>
      <w:r w:rsidRPr="005D10C1">
        <w:rPr>
          <w:rFonts w:ascii="Candara" w:hAnsi="Candara"/>
        </w:rPr>
        <w:t>desarrollen</w:t>
      </w:r>
      <w:r w:rsidR="00CB0CB5" w:rsidRPr="005D10C1">
        <w:rPr>
          <w:rFonts w:ascii="Candara" w:hAnsi="Candara"/>
        </w:rPr>
        <w:t xml:space="preserve"> a través del Plan Estatal de Investigación Científica Técnica y de Innovación </w:t>
      </w:r>
      <w:r w:rsidR="003B0D24" w:rsidRPr="005D10C1">
        <w:rPr>
          <w:rFonts w:ascii="Candara" w:hAnsi="Candara"/>
        </w:rPr>
        <w:fldChar w:fldCharType="begin" w:fldLock="1"/>
      </w:r>
      <w:r w:rsidR="00CA1A09" w:rsidRPr="005D10C1">
        <w:rPr>
          <w:rFonts w:ascii="Candara" w:hAnsi="Candara"/>
        </w:rPr>
        <w:instrText>ADDIN CSL_CITATION { "citationItems" : [ { "id" : "ITEM-1", "itemData" : { "id" : "ITEM-1", "issued" : { "date-parts" : [ [ "2013" ] ] }, "title" : "Plan estatal de investigaci\u00f3n cient\u00edfica, t\u00e9cnica y de innovaci\u00f3n 2013-2016", "type" : "article" }, "uris" : [ "http://www.mendeley.com/documents/?uuid=94b6f5d9-5d47-4aa1-868a-c36d32cc0a4d", "http://www.mendeley.com/documents/?uuid=854631b1-5c60-457b-9d0d-c0d43b753bb9" ] } ], "mendeley" : { "previouslyFormattedCitation" : "(\u201cPlan estatal de investigaci\u00f3n cient\u00edfica, t\u00e9cnica y de innovaci\u00f3n 2013-2016,\u201d 2013a)" }, "properties" : { "noteIndex" : 0 }, "schema" : "https://github.com/citation-style-language/schema/raw/master/csl-citation.json" }</w:instrText>
      </w:r>
      <w:r w:rsidR="003B0D24" w:rsidRPr="005D10C1">
        <w:rPr>
          <w:rFonts w:ascii="Candara" w:hAnsi="Candara"/>
        </w:rPr>
        <w:fldChar w:fldCharType="separate"/>
      </w:r>
      <w:r w:rsidR="00ED2055" w:rsidRPr="005D10C1">
        <w:rPr>
          <w:rFonts w:ascii="Candara" w:hAnsi="Candara"/>
          <w:noProof/>
        </w:rPr>
        <w:t>(“Plan estatal de investigación científica, técnica y de innovación 2013-2016,” 2013a)</w:t>
      </w:r>
      <w:r w:rsidR="003B0D24" w:rsidRPr="005D10C1">
        <w:rPr>
          <w:rFonts w:ascii="Candara" w:hAnsi="Candara"/>
        </w:rPr>
        <w:fldChar w:fldCharType="end"/>
      </w:r>
      <w:r w:rsidR="00CB0CB5" w:rsidRPr="005D10C1">
        <w:rPr>
          <w:rFonts w:ascii="Candara" w:hAnsi="Candara"/>
        </w:rPr>
        <w:t>.</w:t>
      </w:r>
    </w:p>
    <w:p w14:paraId="2FB7E376" w14:textId="77777777" w:rsidR="00B34521" w:rsidRPr="005D10C1" w:rsidRDefault="00B34521" w:rsidP="00B34521">
      <w:pPr>
        <w:spacing w:line="360" w:lineRule="auto"/>
        <w:rPr>
          <w:rFonts w:ascii="Candara" w:hAnsi="Candara"/>
        </w:rPr>
      </w:pPr>
      <w:r w:rsidRPr="005D10C1">
        <w:rPr>
          <w:rFonts w:ascii="Candara" w:hAnsi="Candara"/>
        </w:rPr>
        <w:t xml:space="preserve">Dicho plan está dirigido a todos los agentes del Sistema Español de Ciencia, Tecnología e Innovación responsables de: </w:t>
      </w:r>
    </w:p>
    <w:p w14:paraId="3C9E0447" w14:textId="77777777" w:rsidR="00C815FD" w:rsidRPr="005D10C1" w:rsidRDefault="008B4C7D" w:rsidP="001B24A9">
      <w:pPr>
        <w:pStyle w:val="Prrafodelista"/>
        <w:numPr>
          <w:ilvl w:val="0"/>
          <w:numId w:val="4"/>
        </w:numPr>
        <w:spacing w:line="360" w:lineRule="auto"/>
        <w:rPr>
          <w:rFonts w:ascii="Candara" w:hAnsi="Candara"/>
        </w:rPr>
      </w:pPr>
      <w:r w:rsidRPr="005D10C1">
        <w:rPr>
          <w:rFonts w:ascii="Candara" w:hAnsi="Candara"/>
        </w:rPr>
        <w:t>la ejecu</w:t>
      </w:r>
      <w:r w:rsidR="000A0280" w:rsidRPr="005D10C1">
        <w:rPr>
          <w:rFonts w:ascii="Candara" w:hAnsi="Candara"/>
        </w:rPr>
        <w:t>ción de las actividades de I+D+i</w:t>
      </w:r>
      <w:r w:rsidRPr="005D10C1">
        <w:rPr>
          <w:rFonts w:ascii="Candara" w:hAnsi="Candara"/>
        </w:rPr>
        <w:t xml:space="preserve">; </w:t>
      </w:r>
    </w:p>
    <w:p w14:paraId="1516EC8A" w14:textId="77777777" w:rsidR="00C815FD" w:rsidRPr="005D10C1" w:rsidRDefault="008B4C7D" w:rsidP="001B24A9">
      <w:pPr>
        <w:pStyle w:val="Prrafodelista"/>
        <w:numPr>
          <w:ilvl w:val="0"/>
          <w:numId w:val="4"/>
        </w:numPr>
        <w:spacing w:line="360" w:lineRule="auto"/>
        <w:rPr>
          <w:rFonts w:ascii="Candara" w:hAnsi="Candara"/>
        </w:rPr>
      </w:pPr>
      <w:r w:rsidRPr="005D10C1">
        <w:rPr>
          <w:rFonts w:ascii="Candara" w:hAnsi="Candara"/>
        </w:rPr>
        <w:t xml:space="preserve">la gestión de las actividades de </w:t>
      </w:r>
      <w:r w:rsidR="000A0280" w:rsidRPr="005D10C1">
        <w:rPr>
          <w:rFonts w:ascii="Candara" w:hAnsi="Candara"/>
        </w:rPr>
        <w:t>I+D+i</w:t>
      </w:r>
      <w:r w:rsidRPr="005D10C1">
        <w:rPr>
          <w:rFonts w:ascii="Candara" w:hAnsi="Candara"/>
        </w:rPr>
        <w:t xml:space="preserve">; y </w:t>
      </w:r>
    </w:p>
    <w:p w14:paraId="2B7D2E52" w14:textId="77777777" w:rsidR="00C815FD" w:rsidRPr="005D10C1" w:rsidRDefault="008B4C7D" w:rsidP="001B24A9">
      <w:pPr>
        <w:pStyle w:val="Prrafodelista"/>
        <w:numPr>
          <w:ilvl w:val="0"/>
          <w:numId w:val="4"/>
        </w:numPr>
        <w:spacing w:line="360" w:lineRule="auto"/>
        <w:rPr>
          <w:rFonts w:ascii="Candara" w:hAnsi="Candara"/>
        </w:rPr>
      </w:pPr>
      <w:r w:rsidRPr="005D10C1">
        <w:rPr>
          <w:rFonts w:ascii="Candara" w:hAnsi="Candara"/>
        </w:rPr>
        <w:t xml:space="preserve">la prestación de servicios de </w:t>
      </w:r>
      <w:r w:rsidR="000A0280" w:rsidRPr="005D10C1">
        <w:rPr>
          <w:rFonts w:ascii="Candara" w:hAnsi="Candara"/>
        </w:rPr>
        <w:t>I+D+i</w:t>
      </w:r>
      <w:r w:rsidRPr="005D10C1">
        <w:rPr>
          <w:rFonts w:ascii="Candara" w:hAnsi="Candara"/>
        </w:rPr>
        <w:t xml:space="preserve"> para el progreso científico, tecnológico y la innovación del conjunto de la sociedad y la economía españolas.</w:t>
      </w:r>
    </w:p>
    <w:p w14:paraId="7C66BE80" w14:textId="77777777" w:rsidR="00A47FB5" w:rsidRPr="005D10C1" w:rsidRDefault="00A47FB5" w:rsidP="00A47FB5">
      <w:pPr>
        <w:spacing w:line="360" w:lineRule="auto"/>
        <w:rPr>
          <w:rFonts w:ascii="Candara" w:hAnsi="Candara"/>
        </w:rPr>
      </w:pPr>
    </w:p>
    <w:p w14:paraId="0CA735FB" w14:textId="77777777" w:rsidR="00A47FB5" w:rsidRPr="005D10C1" w:rsidRDefault="001209B4" w:rsidP="00A47FB5">
      <w:pPr>
        <w:spacing w:line="360" w:lineRule="auto"/>
        <w:rPr>
          <w:rFonts w:ascii="Candara" w:hAnsi="Candara"/>
        </w:rPr>
      </w:pPr>
      <w:r w:rsidRPr="005D10C1">
        <w:rPr>
          <w:rFonts w:ascii="Candara" w:hAnsi="Candara"/>
        </w:rPr>
        <w:t xml:space="preserve">En relación al Plan estatal de investigación científica </w:t>
      </w:r>
      <w:r w:rsidR="0026118C" w:rsidRPr="005D10C1">
        <w:rPr>
          <w:rFonts w:ascii="Candara" w:hAnsi="Candara"/>
        </w:rPr>
        <w:t>técnica y de innovación (2013), e</w:t>
      </w:r>
      <w:r w:rsidR="00A47FB5" w:rsidRPr="005D10C1">
        <w:rPr>
          <w:rFonts w:ascii="Candara" w:hAnsi="Candara"/>
        </w:rPr>
        <w:t xml:space="preserve">l </w:t>
      </w:r>
      <w:r w:rsidR="00BA5EED" w:rsidRPr="005D10C1">
        <w:rPr>
          <w:rFonts w:ascii="Candara" w:hAnsi="Candara"/>
        </w:rPr>
        <w:t xml:space="preserve">Sistema Español De Ciencia, Tecnología E Innovación </w:t>
      </w:r>
      <w:r w:rsidR="00A47FB5" w:rsidRPr="005D10C1">
        <w:rPr>
          <w:rFonts w:ascii="Candara" w:hAnsi="Candara"/>
        </w:rPr>
        <w:t>busca lo siguiente:</w:t>
      </w:r>
    </w:p>
    <w:p w14:paraId="05CE8CDE" w14:textId="77777777" w:rsidR="00C815FD" w:rsidRPr="005D10C1" w:rsidRDefault="008B4C7D" w:rsidP="001B24A9">
      <w:pPr>
        <w:pStyle w:val="Prrafodelista"/>
        <w:numPr>
          <w:ilvl w:val="0"/>
          <w:numId w:val="5"/>
        </w:numPr>
        <w:spacing w:line="360" w:lineRule="auto"/>
        <w:rPr>
          <w:rFonts w:ascii="Candara" w:hAnsi="Candara"/>
        </w:rPr>
      </w:pPr>
      <w:r w:rsidRPr="005D10C1">
        <w:rPr>
          <w:rFonts w:ascii="Candara" w:hAnsi="Candara"/>
        </w:rPr>
        <w:t xml:space="preserve">Potenciar la formación y ocupación de los recursos humanos en actividades de </w:t>
      </w:r>
      <w:r w:rsidR="000A0280" w:rsidRPr="005D10C1">
        <w:rPr>
          <w:rFonts w:ascii="Candara" w:hAnsi="Candara"/>
        </w:rPr>
        <w:t>I+D+i</w:t>
      </w:r>
      <w:r w:rsidRPr="005D10C1">
        <w:rPr>
          <w:rFonts w:ascii="Candara" w:hAnsi="Candara"/>
        </w:rPr>
        <w:t xml:space="preserve"> tanto en el sector público </w:t>
      </w:r>
      <w:r w:rsidR="00A47FB5" w:rsidRPr="005D10C1">
        <w:rPr>
          <w:rFonts w:ascii="Candara" w:hAnsi="Candara"/>
        </w:rPr>
        <w:t xml:space="preserve">y </w:t>
      </w:r>
      <w:r w:rsidRPr="005D10C1">
        <w:rPr>
          <w:rFonts w:ascii="Candara" w:hAnsi="Candara"/>
        </w:rPr>
        <w:t>en el sector privado.</w:t>
      </w:r>
    </w:p>
    <w:p w14:paraId="5FFEDA57" w14:textId="77777777" w:rsidR="00C815FD" w:rsidRPr="005D10C1" w:rsidRDefault="00A47FB5" w:rsidP="001B24A9">
      <w:pPr>
        <w:pStyle w:val="Prrafodelista"/>
        <w:numPr>
          <w:ilvl w:val="0"/>
          <w:numId w:val="5"/>
        </w:numPr>
        <w:spacing w:line="360" w:lineRule="auto"/>
        <w:rPr>
          <w:rFonts w:ascii="Candara" w:hAnsi="Candara"/>
        </w:rPr>
      </w:pPr>
      <w:r w:rsidRPr="005D10C1">
        <w:rPr>
          <w:rFonts w:ascii="Candara" w:hAnsi="Candara"/>
        </w:rPr>
        <w:t>Aumentar la calidad de la investigación científica y técnica para alcanzar el máximo nivel de excelencia e impacto.</w:t>
      </w:r>
    </w:p>
    <w:p w14:paraId="4F0B3690" w14:textId="77777777" w:rsidR="00C815FD" w:rsidRPr="005D10C1" w:rsidRDefault="00A47FB5" w:rsidP="001B24A9">
      <w:pPr>
        <w:pStyle w:val="Prrafodelista"/>
        <w:numPr>
          <w:ilvl w:val="0"/>
          <w:numId w:val="5"/>
        </w:numPr>
        <w:spacing w:line="360" w:lineRule="auto"/>
        <w:rPr>
          <w:rFonts w:ascii="Candara" w:hAnsi="Candara"/>
        </w:rPr>
      </w:pPr>
      <w:r w:rsidRPr="005D10C1">
        <w:rPr>
          <w:rFonts w:ascii="Candara" w:hAnsi="Candara"/>
        </w:rPr>
        <w:t>Fortalecer las capacidades y el liderazgo internacional de las instituciones, centros y unidades ejecutores de investigación científica y técnica.</w:t>
      </w:r>
    </w:p>
    <w:p w14:paraId="7C390EEC" w14:textId="77777777" w:rsidR="00C815FD" w:rsidRPr="005D10C1" w:rsidRDefault="00A47FB5" w:rsidP="001B24A9">
      <w:pPr>
        <w:pStyle w:val="Prrafodelista"/>
        <w:numPr>
          <w:ilvl w:val="0"/>
          <w:numId w:val="5"/>
        </w:numPr>
        <w:spacing w:line="360" w:lineRule="auto"/>
        <w:rPr>
          <w:rFonts w:ascii="Candara" w:hAnsi="Candara"/>
        </w:rPr>
      </w:pPr>
      <w:r w:rsidRPr="005D10C1">
        <w:rPr>
          <w:rFonts w:ascii="Candara" w:hAnsi="Candara"/>
        </w:rPr>
        <w:t>Facilitar el acceso a las infraestructuras científicas y tecnológicas y al equipamiento científico.</w:t>
      </w:r>
    </w:p>
    <w:p w14:paraId="33FE610E" w14:textId="77777777" w:rsidR="00C815FD" w:rsidRPr="005D10C1" w:rsidRDefault="00A47FB5" w:rsidP="001B24A9">
      <w:pPr>
        <w:pStyle w:val="Prrafodelista"/>
        <w:numPr>
          <w:ilvl w:val="0"/>
          <w:numId w:val="5"/>
        </w:numPr>
        <w:spacing w:line="360" w:lineRule="auto"/>
        <w:rPr>
          <w:rFonts w:ascii="Candara" w:hAnsi="Candara"/>
        </w:rPr>
      </w:pPr>
      <w:r w:rsidRPr="005D10C1">
        <w:rPr>
          <w:rFonts w:ascii="Candara" w:hAnsi="Candara"/>
        </w:rPr>
        <w:lastRenderedPageBreak/>
        <w:t xml:space="preserve">Impulsar el liderazgo empresarial en </w:t>
      </w:r>
      <w:r w:rsidR="000A0280" w:rsidRPr="005D10C1">
        <w:rPr>
          <w:rFonts w:ascii="Candara" w:hAnsi="Candara"/>
        </w:rPr>
        <w:t>I+D+i</w:t>
      </w:r>
      <w:r w:rsidRPr="005D10C1">
        <w:rPr>
          <w:rFonts w:ascii="Candara" w:hAnsi="Candara"/>
        </w:rPr>
        <w:t xml:space="preserve"> potenciando las capacidades de </w:t>
      </w:r>
      <w:r w:rsidR="000A0280" w:rsidRPr="005D10C1">
        <w:rPr>
          <w:rFonts w:ascii="Candara" w:hAnsi="Candara"/>
        </w:rPr>
        <w:t>I+D+i</w:t>
      </w:r>
      <w:r w:rsidRPr="005D10C1">
        <w:rPr>
          <w:rFonts w:ascii="Candara" w:hAnsi="Candara"/>
        </w:rPr>
        <w:t xml:space="preserve"> de las empresas y la incorporación de las PYME al proceso de innovación.</w:t>
      </w:r>
    </w:p>
    <w:p w14:paraId="40DE3086" w14:textId="77777777" w:rsidR="00C815FD" w:rsidRPr="005D10C1" w:rsidRDefault="00A47FB5" w:rsidP="001B24A9">
      <w:pPr>
        <w:pStyle w:val="Prrafodelista"/>
        <w:numPr>
          <w:ilvl w:val="0"/>
          <w:numId w:val="5"/>
        </w:numPr>
        <w:spacing w:line="360" w:lineRule="auto"/>
        <w:rPr>
          <w:rFonts w:ascii="Candara" w:hAnsi="Candara"/>
        </w:rPr>
      </w:pPr>
      <w:r w:rsidRPr="005D10C1">
        <w:rPr>
          <w:rFonts w:ascii="Candara" w:hAnsi="Candara"/>
        </w:rPr>
        <w:t xml:space="preserve">Favorecer la creación y el crecimiento de empresas de base tecnológica y la promoción de redes eficientes de inversores que permitan el acceso a nuevas formas de financiación de las actividades de </w:t>
      </w:r>
      <w:r w:rsidR="000A0280" w:rsidRPr="005D10C1">
        <w:rPr>
          <w:rFonts w:ascii="Candara" w:hAnsi="Candara"/>
        </w:rPr>
        <w:t>I+D+i</w:t>
      </w:r>
      <w:r w:rsidRPr="005D10C1">
        <w:rPr>
          <w:rFonts w:ascii="Candara" w:hAnsi="Candara"/>
        </w:rPr>
        <w:t>.</w:t>
      </w:r>
    </w:p>
    <w:p w14:paraId="26F867BD" w14:textId="77777777" w:rsidR="00C815FD" w:rsidRPr="005D10C1" w:rsidRDefault="001209B4" w:rsidP="001B24A9">
      <w:pPr>
        <w:pStyle w:val="Prrafodelista"/>
        <w:numPr>
          <w:ilvl w:val="0"/>
          <w:numId w:val="5"/>
        </w:numPr>
        <w:spacing w:line="360" w:lineRule="auto"/>
        <w:rPr>
          <w:rFonts w:ascii="Candara" w:hAnsi="Candara"/>
        </w:rPr>
      </w:pPr>
      <w:r w:rsidRPr="005D10C1">
        <w:rPr>
          <w:rFonts w:ascii="Candara" w:hAnsi="Candara"/>
        </w:rPr>
        <w:t xml:space="preserve">Incrementar la colaboración en materia de </w:t>
      </w:r>
      <w:r w:rsidR="000A0280" w:rsidRPr="005D10C1">
        <w:rPr>
          <w:rFonts w:ascii="Candara" w:hAnsi="Candara"/>
        </w:rPr>
        <w:t>I+D+i</w:t>
      </w:r>
      <w:r w:rsidRPr="005D10C1">
        <w:rPr>
          <w:rFonts w:ascii="Candara" w:hAnsi="Candara"/>
        </w:rPr>
        <w:t xml:space="preserve"> entre el sector público y el sector empresarial.</w:t>
      </w:r>
    </w:p>
    <w:p w14:paraId="22B07615" w14:textId="77777777" w:rsidR="00C815FD" w:rsidRPr="005D10C1" w:rsidRDefault="001209B4" w:rsidP="001B24A9">
      <w:pPr>
        <w:pStyle w:val="Prrafodelista"/>
        <w:numPr>
          <w:ilvl w:val="0"/>
          <w:numId w:val="5"/>
        </w:numPr>
        <w:spacing w:line="360" w:lineRule="auto"/>
        <w:rPr>
          <w:rFonts w:ascii="Candara" w:hAnsi="Candara"/>
        </w:rPr>
      </w:pPr>
      <w:r w:rsidRPr="005D10C1">
        <w:rPr>
          <w:rFonts w:ascii="Candara" w:hAnsi="Candara"/>
        </w:rPr>
        <w:t xml:space="preserve">Impulsar la internacionalización de las actividades de </w:t>
      </w:r>
      <w:r w:rsidR="000A0280" w:rsidRPr="005D10C1">
        <w:rPr>
          <w:rFonts w:ascii="Candara" w:hAnsi="Candara"/>
        </w:rPr>
        <w:t>I+D+i</w:t>
      </w:r>
      <w:r w:rsidRPr="005D10C1">
        <w:rPr>
          <w:rFonts w:ascii="Candara" w:hAnsi="Candara"/>
        </w:rPr>
        <w:t xml:space="preserve"> de los agentes del Sistema.</w:t>
      </w:r>
    </w:p>
    <w:p w14:paraId="66AED4D9" w14:textId="77777777" w:rsidR="00C815FD" w:rsidRPr="005D10C1" w:rsidRDefault="001209B4" w:rsidP="001B24A9">
      <w:pPr>
        <w:pStyle w:val="Prrafodelista"/>
        <w:numPr>
          <w:ilvl w:val="0"/>
          <w:numId w:val="5"/>
        </w:numPr>
        <w:spacing w:line="360" w:lineRule="auto"/>
        <w:rPr>
          <w:rFonts w:ascii="Candara" w:hAnsi="Candara"/>
        </w:rPr>
      </w:pPr>
      <w:r w:rsidRPr="005D10C1">
        <w:rPr>
          <w:rFonts w:ascii="Candara" w:hAnsi="Candara"/>
        </w:rPr>
        <w:t>Incrementar la cultura científica, tecnológica e innovadora de la sociedad española.</w:t>
      </w:r>
    </w:p>
    <w:p w14:paraId="5C288523" w14:textId="77777777" w:rsidR="00C815FD" w:rsidRPr="005D10C1" w:rsidRDefault="00C815FD">
      <w:pPr>
        <w:spacing w:line="360" w:lineRule="auto"/>
        <w:ind w:left="360"/>
        <w:rPr>
          <w:rFonts w:ascii="Candara" w:hAnsi="Candara"/>
        </w:rPr>
      </w:pPr>
    </w:p>
    <w:p w14:paraId="198876AB" w14:textId="77777777" w:rsidR="00633D5E" w:rsidRPr="005D10C1" w:rsidRDefault="00633D5E" w:rsidP="00633D5E">
      <w:pPr>
        <w:spacing w:line="360" w:lineRule="auto"/>
        <w:ind w:left="360"/>
        <w:rPr>
          <w:rFonts w:ascii="Candara" w:hAnsi="Candara"/>
        </w:rPr>
      </w:pPr>
      <w:r w:rsidRPr="005D10C1">
        <w:rPr>
          <w:rFonts w:ascii="Candara" w:hAnsi="Candara"/>
        </w:rPr>
        <w:t>El Plan E</w:t>
      </w:r>
      <w:r w:rsidR="00CD3EBC" w:rsidRPr="005D10C1">
        <w:rPr>
          <w:rFonts w:ascii="Candara" w:hAnsi="Candara"/>
        </w:rPr>
        <w:t xml:space="preserve">statal posee unos mecanismos que permiten que los agentes, </w:t>
      </w:r>
      <w:r w:rsidR="00A2762A" w:rsidRPr="005D10C1">
        <w:rPr>
          <w:rFonts w:ascii="Candara" w:hAnsi="Candara"/>
        </w:rPr>
        <w:t xml:space="preserve">y el entorno sean factibles o </w:t>
      </w:r>
      <w:r w:rsidR="000F13CF" w:rsidRPr="005D10C1">
        <w:rPr>
          <w:rFonts w:ascii="Candara" w:hAnsi="Candara"/>
        </w:rPr>
        <w:t>favorables</w:t>
      </w:r>
      <w:r w:rsidR="00A2762A" w:rsidRPr="005D10C1">
        <w:rPr>
          <w:rFonts w:ascii="Candara" w:hAnsi="Candara"/>
        </w:rPr>
        <w:t xml:space="preserve"> para cumplir los propósitos mencionados con anterioridad</w:t>
      </w:r>
      <w:r w:rsidRPr="005D10C1">
        <w:rPr>
          <w:rFonts w:ascii="Candara" w:hAnsi="Candara"/>
        </w:rPr>
        <w:t>, dent</w:t>
      </w:r>
      <w:r w:rsidR="00110604" w:rsidRPr="005D10C1">
        <w:rPr>
          <w:rFonts w:ascii="Candara" w:hAnsi="Candara"/>
        </w:rPr>
        <w:t>r</w:t>
      </w:r>
      <w:r w:rsidRPr="005D10C1">
        <w:rPr>
          <w:rFonts w:ascii="Candara" w:hAnsi="Candara"/>
        </w:rPr>
        <w:t>o de los cuales se encuentran:</w:t>
      </w:r>
    </w:p>
    <w:p w14:paraId="233D47A1" w14:textId="77777777" w:rsidR="00C815FD" w:rsidRPr="005D10C1" w:rsidRDefault="00E26D4B" w:rsidP="001B24A9">
      <w:pPr>
        <w:pStyle w:val="Prrafodelista"/>
        <w:numPr>
          <w:ilvl w:val="0"/>
          <w:numId w:val="10"/>
        </w:numPr>
        <w:spacing w:line="360" w:lineRule="auto"/>
        <w:rPr>
          <w:rFonts w:ascii="Candara" w:hAnsi="Candara"/>
        </w:rPr>
      </w:pPr>
      <w:r w:rsidRPr="005D10C1">
        <w:rPr>
          <w:rFonts w:ascii="Candara" w:hAnsi="Candara"/>
        </w:rPr>
        <w:t>L</w:t>
      </w:r>
      <w:r w:rsidR="008B4C7D" w:rsidRPr="005D10C1">
        <w:rPr>
          <w:rFonts w:ascii="Candara" w:hAnsi="Candara"/>
        </w:rPr>
        <w:t xml:space="preserve">os programas estatales de: promoción e incorporación del talento y su empleabilidad, fomento de la investigación científica y técnica de excelencia, liderazgo empresarial en </w:t>
      </w:r>
      <w:r w:rsidR="000A0280" w:rsidRPr="005D10C1">
        <w:rPr>
          <w:rFonts w:ascii="Candara" w:hAnsi="Candara"/>
        </w:rPr>
        <w:t>I+D+i</w:t>
      </w:r>
      <w:r w:rsidR="008B4C7D" w:rsidRPr="005D10C1">
        <w:rPr>
          <w:rFonts w:ascii="Candara" w:hAnsi="Candara"/>
        </w:rPr>
        <w:t xml:space="preserve">, </w:t>
      </w:r>
      <w:r w:rsidR="000A0280" w:rsidRPr="005D10C1">
        <w:rPr>
          <w:rFonts w:ascii="Candara" w:hAnsi="Candara"/>
        </w:rPr>
        <w:t>I+D+i</w:t>
      </w:r>
      <w:r w:rsidR="008B4C7D" w:rsidRPr="005D10C1">
        <w:rPr>
          <w:rFonts w:ascii="Candara" w:hAnsi="Candara"/>
        </w:rPr>
        <w:t xml:space="preserve"> orientada a los retos de la sociedad</w:t>
      </w:r>
    </w:p>
    <w:p w14:paraId="00F1A63C" w14:textId="77777777" w:rsidR="00C815FD" w:rsidRPr="005D10C1" w:rsidRDefault="00E26D4B" w:rsidP="001B24A9">
      <w:pPr>
        <w:pStyle w:val="Prrafodelista"/>
        <w:numPr>
          <w:ilvl w:val="0"/>
          <w:numId w:val="6"/>
        </w:numPr>
        <w:spacing w:line="360" w:lineRule="auto"/>
        <w:rPr>
          <w:rFonts w:ascii="Candara" w:hAnsi="Candara"/>
        </w:rPr>
      </w:pPr>
      <w:r w:rsidRPr="005D10C1">
        <w:rPr>
          <w:rFonts w:ascii="Candara" w:hAnsi="Candara"/>
        </w:rPr>
        <w:t xml:space="preserve">Modalidades de participación e instrumentos de financiación. </w:t>
      </w:r>
      <w:r w:rsidR="00A36213" w:rsidRPr="005D10C1">
        <w:rPr>
          <w:rFonts w:ascii="Candara" w:hAnsi="Candara"/>
        </w:rPr>
        <w:t>Dentro de las cuales se encuentran</w:t>
      </w:r>
      <w:r w:rsidRPr="005D10C1">
        <w:rPr>
          <w:rFonts w:ascii="Candara" w:hAnsi="Candara"/>
        </w:rPr>
        <w:t xml:space="preserve"> los programas y proyectos de </w:t>
      </w:r>
      <w:r w:rsidR="000A0280" w:rsidRPr="005D10C1">
        <w:rPr>
          <w:rFonts w:ascii="Candara" w:hAnsi="Candara"/>
        </w:rPr>
        <w:t>I+D+i</w:t>
      </w:r>
      <w:r w:rsidRPr="005D10C1">
        <w:rPr>
          <w:rFonts w:ascii="Candara" w:hAnsi="Candara"/>
        </w:rPr>
        <w:t xml:space="preserve">, la contratación de ayudas destinadas a los recursos humanos en </w:t>
      </w:r>
      <w:r w:rsidR="000A0280" w:rsidRPr="005D10C1">
        <w:rPr>
          <w:rFonts w:ascii="Candara" w:hAnsi="Candara"/>
        </w:rPr>
        <w:t>I+D+i</w:t>
      </w:r>
      <w:r w:rsidRPr="005D10C1">
        <w:rPr>
          <w:rFonts w:ascii="Candara" w:hAnsi="Candara"/>
        </w:rPr>
        <w:t xml:space="preserve">, ayudas e infraestructuras científicas y técnicas y adquisición de equipamiento, acciones complementarias y de dinamización, y las actuaciones de programación conjunta. </w:t>
      </w:r>
    </w:p>
    <w:p w14:paraId="51830EDB" w14:textId="77777777" w:rsidR="00C815FD" w:rsidRPr="005D10C1" w:rsidRDefault="00E26D4B" w:rsidP="001B24A9">
      <w:pPr>
        <w:pStyle w:val="Prrafodelista"/>
        <w:numPr>
          <w:ilvl w:val="0"/>
          <w:numId w:val="6"/>
        </w:numPr>
        <w:spacing w:line="360" w:lineRule="auto"/>
        <w:rPr>
          <w:rFonts w:ascii="Candara" w:hAnsi="Candara"/>
        </w:rPr>
      </w:pPr>
      <w:r w:rsidRPr="005D10C1">
        <w:rPr>
          <w:rFonts w:ascii="Candara" w:hAnsi="Candara"/>
        </w:rPr>
        <w:t>Los programas de actuación anuales permiten desarrollar las modalidades de participación asignando los recursos financieros disponibles a las actuaciones programadas y actualización conjunta del plan.</w:t>
      </w:r>
    </w:p>
    <w:p w14:paraId="2BDDD734" w14:textId="77777777" w:rsidR="006B39D2" w:rsidRPr="005D10C1" w:rsidRDefault="006B39D2" w:rsidP="006B39D2">
      <w:pPr>
        <w:spacing w:line="360" w:lineRule="auto"/>
        <w:rPr>
          <w:rFonts w:ascii="Candara" w:hAnsi="Candara"/>
        </w:rPr>
      </w:pPr>
    </w:p>
    <w:p w14:paraId="7895BD8E" w14:textId="77777777" w:rsidR="007935E6" w:rsidRPr="005D10C1" w:rsidRDefault="007935E6" w:rsidP="006B39D2">
      <w:pPr>
        <w:spacing w:line="360" w:lineRule="auto"/>
        <w:rPr>
          <w:rFonts w:ascii="Candara" w:hAnsi="Candara"/>
        </w:rPr>
      </w:pPr>
      <w:r w:rsidRPr="005D10C1">
        <w:rPr>
          <w:rFonts w:ascii="Candara" w:hAnsi="Candara"/>
        </w:rPr>
        <w:t xml:space="preserve">El gasto de I+D en </w:t>
      </w:r>
      <w:r w:rsidR="0077760A" w:rsidRPr="005D10C1">
        <w:rPr>
          <w:rFonts w:ascii="Candara" w:hAnsi="Candara"/>
        </w:rPr>
        <w:t xml:space="preserve">España </w:t>
      </w:r>
      <w:r w:rsidRPr="005D10C1">
        <w:rPr>
          <w:rFonts w:ascii="Candara" w:hAnsi="Candara"/>
        </w:rPr>
        <w:t xml:space="preserve">se encuentra relacionado en la </w:t>
      </w:r>
      <w:r w:rsidR="00A57352">
        <w:fldChar w:fldCharType="begin"/>
      </w:r>
      <w:r w:rsidR="00A57352">
        <w:instrText xml:space="preserve"> REF _Ref374622461 \h  \* MERGEFORMAT </w:instrText>
      </w:r>
      <w:r w:rsidR="00A57352">
        <w:fldChar w:fldCharType="separate"/>
      </w:r>
      <w:r w:rsidR="005D10C1" w:rsidRPr="005D10C1">
        <w:rPr>
          <w:rFonts w:ascii="Candara" w:hAnsi="Candara"/>
        </w:rPr>
        <w:t>Ilustración 9</w:t>
      </w:r>
      <w:r w:rsidR="00A57352">
        <w:fldChar w:fldCharType="end"/>
      </w:r>
      <w:r w:rsidR="00A57352">
        <w:fldChar w:fldCharType="begin"/>
      </w:r>
      <w:r w:rsidR="00A57352">
        <w:instrText xml:space="preserve"> REF _Ref372123597 \h  \* MERGEFORMAT </w:instrText>
      </w:r>
      <w:r w:rsidR="00A57352">
        <w:fldChar w:fldCharType="separate"/>
      </w:r>
      <w:r w:rsidR="005D10C1" w:rsidRPr="005D10C1">
        <w:rPr>
          <w:rFonts w:ascii="Candara" w:hAnsi="Candara" w:cstheme="minorHAnsi"/>
          <w:b/>
          <w:sz w:val="20"/>
        </w:rPr>
        <w:t xml:space="preserve">Ilustración </w:t>
      </w:r>
      <w:r w:rsidR="005D10C1">
        <w:rPr>
          <w:rFonts w:ascii="Candara" w:hAnsi="Candara" w:cstheme="minorHAnsi"/>
          <w:b/>
          <w:noProof/>
          <w:sz w:val="20"/>
        </w:rPr>
        <w:t>7</w:t>
      </w:r>
      <w:r w:rsidR="005D10C1" w:rsidRPr="005D10C1">
        <w:rPr>
          <w:rFonts w:ascii="Candara" w:hAnsi="Candara" w:cstheme="minorHAnsi"/>
          <w:b/>
          <w:sz w:val="20"/>
        </w:rPr>
        <w:t>: Gasto de I+D en Francia</w:t>
      </w:r>
      <w:r w:rsidR="00A57352">
        <w:fldChar w:fldCharType="end"/>
      </w:r>
      <w:r w:rsidR="003B0D24" w:rsidRPr="005D10C1">
        <w:rPr>
          <w:rFonts w:ascii="Candara" w:hAnsi="Candara"/>
        </w:rPr>
        <w:fldChar w:fldCharType="begin"/>
      </w:r>
      <w:r w:rsidRPr="005D10C1">
        <w:rPr>
          <w:rFonts w:ascii="Candara" w:hAnsi="Candara"/>
        </w:rPr>
        <w:instrText xml:space="preserve"> REF _Ref372123151 \h  \* MERGEFORMAT </w:instrText>
      </w:r>
      <w:r w:rsidR="003B0D24" w:rsidRPr="005D10C1">
        <w:rPr>
          <w:rFonts w:ascii="Candara" w:hAnsi="Candara"/>
        </w:rPr>
      </w:r>
      <w:r w:rsidR="003B0D24" w:rsidRPr="005D10C1">
        <w:rPr>
          <w:rFonts w:ascii="Candara" w:hAnsi="Candara"/>
        </w:rPr>
        <w:fldChar w:fldCharType="separate"/>
      </w:r>
      <w:r w:rsidR="005D10C1">
        <w:rPr>
          <w:rFonts w:ascii="Candara" w:hAnsi="Candara"/>
          <w:b/>
          <w:bCs/>
          <w:lang w:val="es-ES"/>
        </w:rPr>
        <w:t>¡Error! No se encuentra el origen de la referencia.</w:t>
      </w:r>
      <w:r w:rsidR="003B0D24" w:rsidRPr="005D10C1">
        <w:rPr>
          <w:rFonts w:ascii="Candara" w:hAnsi="Candara"/>
        </w:rPr>
        <w:fldChar w:fldCharType="end"/>
      </w:r>
      <w:r w:rsidRPr="005D10C1">
        <w:rPr>
          <w:rFonts w:ascii="Candara" w:hAnsi="Candara"/>
        </w:rPr>
        <w:t>, éste se expresa como el porcentaje del Producto Interno Bruto que se destina para que el sistema nacional de innovación opere</w:t>
      </w:r>
      <w:r w:rsidR="0038688E" w:rsidRPr="005D10C1">
        <w:rPr>
          <w:rFonts w:ascii="Candara" w:hAnsi="Candara"/>
        </w:rPr>
        <w:t xml:space="preserve">, dicho gasto ha crecido </w:t>
      </w:r>
      <w:r w:rsidR="00B501F4" w:rsidRPr="005D10C1">
        <w:rPr>
          <w:rFonts w:ascii="Candara" w:hAnsi="Candara"/>
        </w:rPr>
        <w:t>desde el 2004 superando el 1%</w:t>
      </w:r>
      <w:r w:rsidR="0038688E" w:rsidRPr="005D10C1">
        <w:rPr>
          <w:rFonts w:ascii="Candara" w:hAnsi="Candara"/>
        </w:rPr>
        <w:t xml:space="preserve"> siendo en el 2011 de 1.33%, lo cual equivale a US$19,65 billones</w:t>
      </w:r>
      <w:r w:rsidR="0077760A" w:rsidRPr="005D10C1">
        <w:rPr>
          <w:rFonts w:ascii="Candara" w:hAnsi="Candara"/>
        </w:rPr>
        <w:t xml:space="preserve"> </w:t>
      </w:r>
      <w:r w:rsidR="003B0D24" w:rsidRPr="005D10C1">
        <w:rPr>
          <w:rFonts w:ascii="Candara" w:hAnsi="Candara" w:cstheme="minorHAnsi"/>
        </w:rPr>
        <w:fldChar w:fldCharType="begin" w:fldLock="1"/>
      </w:r>
      <w:r w:rsidR="00CA1A09" w:rsidRPr="005D10C1">
        <w:rPr>
          <w:rFonts w:ascii="Candara" w:hAnsi="Candara" w:cstheme="minorHAnsi"/>
        </w:rPr>
        <w:instrText>ADDIN CSL_CITATION { "citationItems" : [ { "id" : "ITEM-1", "itemData" : { "DOI" : "10.1787/2075843x-table1", "URL" : "http://www.oecd-ilibrary.org/science-and-technology/gross-domestic-expenditure-on-r-d_2075843x-table1", "author" : [ { "dropping-particle" : "", "family" : "OECD", "given" : "", "non-dropping-particle" : "", "parse-names" : false, "suffix" : "" } ], "container-title" : "Science and Technology", "id" : "ITEM-1", "issued" : { "date-parts" : [ [ "2013" ] ] }, "title" : "Gross domestic expenditure on R&amp;D - Science and Technology: Key Tables from OECD, No. 1", "type" : "webpage" }, "uris" : [ "http://www.mendeley.com/documents/?uuid=65f9daf4-118b-4062-ab5a-ab4e62e6bd9a" ] } ], "mendeley" : { "previouslyFormattedCitation" : "(OECD, 2013)" }, "properties" : { "noteIndex" : 0 }, "schema" : "https://github.com/citation-style-language/schema/raw/master/csl-citation.json" }</w:instrText>
      </w:r>
      <w:r w:rsidR="003B0D24" w:rsidRPr="005D10C1">
        <w:rPr>
          <w:rFonts w:ascii="Candara" w:hAnsi="Candara" w:cstheme="minorHAnsi"/>
        </w:rPr>
        <w:fldChar w:fldCharType="separate"/>
      </w:r>
      <w:r w:rsidR="0077760A" w:rsidRPr="005D10C1">
        <w:rPr>
          <w:rFonts w:ascii="Candara" w:hAnsi="Candara" w:cstheme="minorHAnsi"/>
          <w:noProof/>
        </w:rPr>
        <w:t>(OECD, 2013)</w:t>
      </w:r>
      <w:r w:rsidR="003B0D24" w:rsidRPr="005D10C1">
        <w:rPr>
          <w:rFonts w:ascii="Candara" w:hAnsi="Candara" w:cstheme="minorHAnsi"/>
        </w:rPr>
        <w:fldChar w:fldCharType="end"/>
      </w:r>
      <w:r w:rsidRPr="005D10C1">
        <w:rPr>
          <w:rFonts w:ascii="Candara" w:hAnsi="Candara"/>
        </w:rPr>
        <w:t>.</w:t>
      </w:r>
    </w:p>
    <w:p w14:paraId="2395DE5C" w14:textId="77777777" w:rsidR="006B39D2" w:rsidRPr="005D10C1" w:rsidRDefault="006B39D2" w:rsidP="006B39D2">
      <w:pPr>
        <w:spacing w:line="360" w:lineRule="auto"/>
        <w:jc w:val="center"/>
        <w:rPr>
          <w:rFonts w:ascii="Candara" w:hAnsi="Candara"/>
        </w:rPr>
      </w:pPr>
      <w:r w:rsidRPr="005D10C1">
        <w:rPr>
          <w:rFonts w:ascii="Candara" w:hAnsi="Candara"/>
          <w:noProof/>
          <w:lang w:eastAsia="es-CO"/>
        </w:rPr>
        <w:drawing>
          <wp:inline distT="0" distB="0" distL="0" distR="0" wp14:anchorId="4E95E647" wp14:editId="67B0240E">
            <wp:extent cx="4572000" cy="2743200"/>
            <wp:effectExtent l="0" t="0" r="0" b="0"/>
            <wp:docPr id="10" name="Gráfico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478026F2" w14:textId="77777777" w:rsidR="00E724C6" w:rsidRPr="005D10C1" w:rsidRDefault="00726B1A" w:rsidP="00726B1A">
      <w:pPr>
        <w:pStyle w:val="Descripcin"/>
        <w:rPr>
          <w:rFonts w:ascii="Candara" w:hAnsi="Candara" w:cstheme="minorHAnsi"/>
          <w:b w:val="0"/>
          <w:color w:val="auto"/>
          <w:sz w:val="20"/>
        </w:rPr>
      </w:pPr>
      <w:bookmarkStart w:id="268" w:name="_Ref374622461"/>
      <w:bookmarkStart w:id="269" w:name="_Toc377652600"/>
      <w:bookmarkStart w:id="270" w:name="_Toc374621199"/>
      <w:r w:rsidRPr="005D10C1">
        <w:rPr>
          <w:rFonts w:ascii="Candara" w:hAnsi="Candara" w:cstheme="minorHAnsi"/>
          <w:b w:val="0"/>
          <w:noProof/>
          <w:color w:val="auto"/>
          <w:sz w:val="20"/>
        </w:rPr>
        <w:t xml:space="preserve">Ilustración </w:t>
      </w:r>
      <w:r w:rsidR="003B0D24" w:rsidRPr="005D10C1">
        <w:rPr>
          <w:rFonts w:ascii="Candara" w:hAnsi="Candara" w:cstheme="minorHAnsi"/>
          <w:b w:val="0"/>
          <w:noProof/>
          <w:color w:val="auto"/>
          <w:sz w:val="20"/>
        </w:rPr>
        <w:fldChar w:fldCharType="begin"/>
      </w:r>
      <w:r w:rsidRPr="005D10C1">
        <w:rPr>
          <w:rFonts w:ascii="Candara" w:hAnsi="Candara" w:cstheme="minorHAnsi"/>
          <w:b w:val="0"/>
          <w:noProof/>
          <w:color w:val="auto"/>
          <w:sz w:val="20"/>
        </w:rPr>
        <w:instrText xml:space="preserve"> SEQ Ilustración \* ARABIC </w:instrText>
      </w:r>
      <w:r w:rsidR="003B0D24" w:rsidRPr="005D10C1">
        <w:rPr>
          <w:rFonts w:ascii="Candara" w:hAnsi="Candara" w:cstheme="minorHAnsi"/>
          <w:b w:val="0"/>
          <w:noProof/>
          <w:color w:val="auto"/>
          <w:sz w:val="20"/>
        </w:rPr>
        <w:fldChar w:fldCharType="separate"/>
      </w:r>
      <w:r w:rsidR="005D10C1">
        <w:rPr>
          <w:rFonts w:ascii="Candara" w:hAnsi="Candara" w:cstheme="minorHAnsi"/>
          <w:b w:val="0"/>
          <w:noProof/>
          <w:color w:val="auto"/>
          <w:sz w:val="20"/>
        </w:rPr>
        <w:t>9</w:t>
      </w:r>
      <w:r w:rsidR="003B0D24" w:rsidRPr="005D10C1">
        <w:rPr>
          <w:rFonts w:ascii="Candara" w:hAnsi="Candara" w:cstheme="minorHAnsi"/>
          <w:b w:val="0"/>
          <w:noProof/>
          <w:color w:val="auto"/>
          <w:sz w:val="20"/>
        </w:rPr>
        <w:fldChar w:fldCharType="end"/>
      </w:r>
      <w:bookmarkEnd w:id="268"/>
      <w:r w:rsidRPr="005D10C1">
        <w:rPr>
          <w:rFonts w:ascii="Candara" w:hAnsi="Candara" w:cstheme="minorHAnsi"/>
          <w:b w:val="0"/>
          <w:noProof/>
          <w:color w:val="auto"/>
          <w:sz w:val="20"/>
        </w:rPr>
        <w:t>: Ilustración 6: Gasto de I+D en España</w:t>
      </w:r>
      <w:r w:rsidR="007004F0" w:rsidRPr="005D10C1">
        <w:rPr>
          <w:rFonts w:ascii="Candara" w:hAnsi="Candara" w:cstheme="minorHAnsi"/>
          <w:b w:val="0"/>
          <w:noProof/>
          <w:color w:val="auto"/>
          <w:sz w:val="20"/>
        </w:rPr>
        <w:t>.</w:t>
      </w:r>
      <w:bookmarkEnd w:id="269"/>
      <w:r w:rsidRPr="005D10C1">
        <w:rPr>
          <w:rFonts w:ascii="Candara" w:hAnsi="Candara"/>
          <w:color w:val="auto"/>
        </w:rPr>
        <w:t xml:space="preserve"> </w:t>
      </w:r>
      <w:bookmarkEnd w:id="270"/>
    </w:p>
    <w:p w14:paraId="1A62DC3F" w14:textId="77777777" w:rsidR="00A04AFD" w:rsidRPr="005D10C1" w:rsidRDefault="00A04AFD" w:rsidP="00A04AFD">
      <w:pPr>
        <w:rPr>
          <w:rFonts w:ascii="Candara" w:hAnsi="Candara"/>
        </w:rPr>
      </w:pPr>
    </w:p>
    <w:p w14:paraId="5DA8178E" w14:textId="77777777" w:rsidR="005C00E5" w:rsidRPr="005D10C1" w:rsidRDefault="005C00E5" w:rsidP="005C00E5">
      <w:pPr>
        <w:pStyle w:val="Ttulo3"/>
        <w:rPr>
          <w:rFonts w:ascii="Candara" w:hAnsi="Candara"/>
          <w:color w:val="auto"/>
        </w:rPr>
      </w:pPr>
      <w:bookmarkStart w:id="271" w:name="_Toc377653154"/>
      <w:r w:rsidRPr="005D10C1">
        <w:rPr>
          <w:rFonts w:ascii="Candara" w:hAnsi="Candara"/>
          <w:color w:val="auto"/>
        </w:rPr>
        <w:t xml:space="preserve">Políticas y </w:t>
      </w:r>
      <w:r w:rsidR="005E12A3" w:rsidRPr="005D10C1">
        <w:rPr>
          <w:rFonts w:ascii="Candara" w:hAnsi="Candara"/>
          <w:color w:val="auto"/>
        </w:rPr>
        <w:t>normas asociadas</w:t>
      </w:r>
      <w:r w:rsidRPr="005D10C1">
        <w:rPr>
          <w:rFonts w:ascii="Candara" w:hAnsi="Candara"/>
          <w:color w:val="auto"/>
        </w:rPr>
        <w:t xml:space="preserve"> a la creación de spin-off</w:t>
      </w:r>
      <w:bookmarkEnd w:id="271"/>
    </w:p>
    <w:p w14:paraId="149C850B" w14:textId="77777777" w:rsidR="005C00E5" w:rsidRPr="005D10C1" w:rsidRDefault="005C00E5" w:rsidP="005C00E5">
      <w:pPr>
        <w:spacing w:line="360" w:lineRule="auto"/>
        <w:rPr>
          <w:rFonts w:ascii="Candara" w:hAnsi="Candara"/>
        </w:rPr>
      </w:pPr>
    </w:p>
    <w:p w14:paraId="53A8C465" w14:textId="77777777" w:rsidR="008079AE" w:rsidRPr="005D10C1" w:rsidRDefault="005E12A3" w:rsidP="006B0B4F">
      <w:pPr>
        <w:spacing w:line="360" w:lineRule="auto"/>
        <w:rPr>
          <w:rFonts w:ascii="Candara" w:hAnsi="Candara"/>
          <w:i/>
        </w:rPr>
      </w:pPr>
      <w:r w:rsidRPr="005D10C1">
        <w:rPr>
          <w:rFonts w:ascii="Candara" w:hAnsi="Candara"/>
          <w:i/>
        </w:rPr>
        <w:t>Leyes</w:t>
      </w:r>
    </w:p>
    <w:p w14:paraId="0C8348E3" w14:textId="77777777" w:rsidR="009D3817" w:rsidRPr="005D10C1" w:rsidRDefault="009D3817" w:rsidP="006B0B4F">
      <w:pPr>
        <w:spacing w:line="360" w:lineRule="auto"/>
        <w:rPr>
          <w:rFonts w:ascii="Candara" w:hAnsi="Candara"/>
        </w:rPr>
      </w:pPr>
      <w:r w:rsidRPr="005D10C1">
        <w:rPr>
          <w:rFonts w:ascii="Candara" w:hAnsi="Candara"/>
        </w:rPr>
        <w:t xml:space="preserve">Las normas que más influyen de forma directa sobre la creación de </w:t>
      </w:r>
      <w:r w:rsidRPr="005D10C1">
        <w:rPr>
          <w:rFonts w:ascii="Candara" w:hAnsi="Candara"/>
          <w:i/>
        </w:rPr>
        <w:t>spin-offs</w:t>
      </w:r>
      <w:r w:rsidRPr="005D10C1">
        <w:rPr>
          <w:rFonts w:ascii="Candara" w:hAnsi="Candara"/>
        </w:rPr>
        <w:t xml:space="preserve"> en las universidades españolas son: la Ley de Patentes, la Legislación Universitaria, la Ley de Incompatibilidades y la Ley de Contratos del Sector Público.</w:t>
      </w:r>
    </w:p>
    <w:p w14:paraId="238FD90D" w14:textId="77777777" w:rsidR="00BC14D6" w:rsidRPr="005D10C1" w:rsidRDefault="00BC14D6" w:rsidP="006B0B4F">
      <w:pPr>
        <w:spacing w:line="360" w:lineRule="auto"/>
        <w:rPr>
          <w:rFonts w:ascii="Candara" w:hAnsi="Candara"/>
        </w:rPr>
      </w:pPr>
    </w:p>
    <w:p w14:paraId="60867E1E" w14:textId="77777777" w:rsidR="00B264CE" w:rsidRPr="005D10C1" w:rsidRDefault="001F4167" w:rsidP="006765E3">
      <w:pPr>
        <w:spacing w:line="360" w:lineRule="auto"/>
        <w:rPr>
          <w:rFonts w:ascii="Candara" w:hAnsi="Candara"/>
        </w:rPr>
      </w:pPr>
      <w:r w:rsidRPr="005D10C1">
        <w:rPr>
          <w:rFonts w:ascii="Candara" w:hAnsi="Candara"/>
        </w:rPr>
        <w:lastRenderedPageBreak/>
        <w:t xml:space="preserve">Tradicionalmente, las leyes españolas no </w:t>
      </w:r>
      <w:r w:rsidR="006765E3" w:rsidRPr="005D10C1">
        <w:rPr>
          <w:rFonts w:ascii="Candara" w:hAnsi="Candara"/>
        </w:rPr>
        <w:t xml:space="preserve">favorecían </w:t>
      </w:r>
      <w:r w:rsidRPr="005D10C1">
        <w:rPr>
          <w:rFonts w:ascii="Candara" w:hAnsi="Candara"/>
        </w:rPr>
        <w:t xml:space="preserve">la generación de spin-offs y sólo de forma reciente que se </w:t>
      </w:r>
      <w:r w:rsidR="006765E3" w:rsidRPr="005D10C1">
        <w:rPr>
          <w:rFonts w:ascii="Candara" w:hAnsi="Candara"/>
        </w:rPr>
        <w:t>produjeron</w:t>
      </w:r>
      <w:r w:rsidRPr="005D10C1">
        <w:rPr>
          <w:rFonts w:ascii="Candara" w:hAnsi="Candara"/>
        </w:rPr>
        <w:t xml:space="preserve"> cambios normativos que han tenido una incidencia positiva </w:t>
      </w:r>
      <w:r w:rsidR="003B0D24" w:rsidRPr="005D10C1">
        <w:rPr>
          <w:rFonts w:ascii="Candara" w:hAnsi="Candara"/>
        </w:rPr>
        <w:fldChar w:fldCharType="begin" w:fldLock="1"/>
      </w:r>
      <w:r w:rsidR="006765E3" w:rsidRPr="005D10C1">
        <w:rPr>
          <w:rFonts w:ascii="Candara" w:hAnsi="Candara"/>
        </w:rPr>
        <w:instrText>ADDIN CSL_CITATION { "citationItems" : [ { "id" : "ITEM-1", "itemData" : { "author" : [ { "dropping-particle" : "", "family" : "Beraza", "given" : "Jos\u00e9 Mar\u00eda", "non-dropping-particle" : "", "parse-names" : false, "suffix" : "" } ], "id" : "ITEM-1", "issue" : "C", "issued" : { "date-parts" : [ [ "2010" ] ] }, "page" : "1021", "publisher" : "Universidad del Pa\u00eds Vasco", "title" : "Los programas de apoyo a la creaci\u00f3n de spin-offs acad\u00e9micas en las universidades espa\u00f1olas: una comparaci\u00f3n internacional", "type" : "thesis", "volume" : "2010" }, "uris" : [ "http://www.mendeley.com/documents/?uuid=dd3c0ee1-2100-4b18-a4fc-40c68b897782" ] } ], "mendeley" : { "previouslyFormattedCitation" : "(Beraza, 2010)" }, "properties" : { "noteIndex" : 0 }, "schema" : "https://github.com/citation-style-language/schema/raw/master/csl-citation.json" }</w:instrText>
      </w:r>
      <w:r w:rsidR="003B0D24" w:rsidRPr="005D10C1">
        <w:rPr>
          <w:rFonts w:ascii="Candara" w:hAnsi="Candara"/>
        </w:rPr>
        <w:fldChar w:fldCharType="separate"/>
      </w:r>
      <w:r w:rsidR="006765E3" w:rsidRPr="005D10C1">
        <w:rPr>
          <w:rFonts w:ascii="Candara" w:hAnsi="Candara"/>
          <w:noProof/>
        </w:rPr>
        <w:t>(Beraza, 2010)</w:t>
      </w:r>
      <w:r w:rsidR="003B0D24" w:rsidRPr="005D10C1">
        <w:rPr>
          <w:rFonts w:ascii="Candara" w:hAnsi="Candara"/>
        </w:rPr>
        <w:fldChar w:fldCharType="end"/>
      </w:r>
      <w:r w:rsidRPr="005D10C1">
        <w:rPr>
          <w:rFonts w:ascii="Candara" w:hAnsi="Candara"/>
        </w:rPr>
        <w:t xml:space="preserve">.  </w:t>
      </w:r>
    </w:p>
    <w:p w14:paraId="22A14028" w14:textId="77777777" w:rsidR="00156C8F" w:rsidRPr="005D10C1" w:rsidRDefault="00156C8F" w:rsidP="006B0B4F">
      <w:pPr>
        <w:spacing w:line="360" w:lineRule="auto"/>
        <w:rPr>
          <w:rFonts w:ascii="Candara" w:hAnsi="Candara"/>
        </w:rPr>
      </w:pPr>
    </w:p>
    <w:p w14:paraId="1F2710A8" w14:textId="77777777" w:rsidR="00B264CE" w:rsidRPr="005D10C1" w:rsidRDefault="00156C8F" w:rsidP="006B0B4F">
      <w:pPr>
        <w:spacing w:line="360" w:lineRule="auto"/>
        <w:rPr>
          <w:rFonts w:ascii="Candara" w:hAnsi="Candara"/>
        </w:rPr>
      </w:pPr>
      <w:r w:rsidRPr="005D10C1">
        <w:rPr>
          <w:rFonts w:ascii="Candara" w:hAnsi="Candara"/>
        </w:rPr>
        <w:t>A continuación se presentan los cambios normativos que se han realizado en esta dirección.</w:t>
      </w:r>
    </w:p>
    <w:p w14:paraId="38B6B381" w14:textId="77777777" w:rsidR="00156C8F" w:rsidRPr="005D10C1" w:rsidRDefault="00156C8F" w:rsidP="006B0B4F">
      <w:pPr>
        <w:spacing w:line="360" w:lineRule="auto"/>
        <w:rPr>
          <w:rFonts w:ascii="Candara" w:hAnsi="Candara"/>
        </w:rPr>
      </w:pPr>
    </w:p>
    <w:p w14:paraId="541137B9" w14:textId="77777777" w:rsidR="00D404AC" w:rsidRPr="005D10C1" w:rsidRDefault="00D404AC" w:rsidP="006B0B4F">
      <w:pPr>
        <w:spacing w:line="360" w:lineRule="auto"/>
        <w:rPr>
          <w:rFonts w:ascii="Candara" w:hAnsi="Candara"/>
        </w:rPr>
      </w:pPr>
    </w:p>
    <w:p w14:paraId="3393A892" w14:textId="77777777" w:rsidR="00D404AC" w:rsidRPr="005D10C1" w:rsidRDefault="00D404AC" w:rsidP="006B0B4F">
      <w:pPr>
        <w:spacing w:line="360" w:lineRule="auto"/>
        <w:rPr>
          <w:rFonts w:ascii="Candara" w:hAnsi="Candara"/>
        </w:rPr>
      </w:pPr>
    </w:p>
    <w:p w14:paraId="42B6C640" w14:textId="77777777" w:rsidR="00B264CE" w:rsidRPr="005D10C1" w:rsidRDefault="00B264CE" w:rsidP="006B0B4F">
      <w:pPr>
        <w:spacing w:line="360" w:lineRule="auto"/>
        <w:rPr>
          <w:rFonts w:ascii="Candara" w:hAnsi="Candara"/>
          <w:i/>
        </w:rPr>
      </w:pPr>
      <w:r w:rsidRPr="005D10C1">
        <w:rPr>
          <w:rFonts w:ascii="Candara" w:hAnsi="Candara"/>
          <w:b/>
          <w:i/>
        </w:rPr>
        <w:t>La L</w:t>
      </w:r>
      <w:r w:rsidR="00445C5A" w:rsidRPr="005D10C1">
        <w:rPr>
          <w:rFonts w:ascii="Candara" w:hAnsi="Candara"/>
          <w:b/>
          <w:i/>
        </w:rPr>
        <w:t>ey Orgánica de Universidades</w:t>
      </w:r>
    </w:p>
    <w:p w14:paraId="78E05D96" w14:textId="77777777" w:rsidR="00445C5A" w:rsidRPr="005D10C1" w:rsidRDefault="00445C5A" w:rsidP="006B0B4F">
      <w:pPr>
        <w:spacing w:line="360" w:lineRule="auto"/>
        <w:rPr>
          <w:rFonts w:ascii="Candara" w:hAnsi="Candara"/>
        </w:rPr>
      </w:pPr>
    </w:p>
    <w:p w14:paraId="5273499D" w14:textId="77777777" w:rsidR="00997DCB" w:rsidRPr="005D10C1" w:rsidRDefault="00997DCB" w:rsidP="006B0B4F">
      <w:pPr>
        <w:spacing w:line="360" w:lineRule="auto"/>
        <w:rPr>
          <w:rFonts w:ascii="Candara" w:hAnsi="Candara"/>
        </w:rPr>
      </w:pPr>
      <w:r w:rsidRPr="005D10C1">
        <w:rPr>
          <w:rFonts w:ascii="Candara" w:hAnsi="Candara"/>
        </w:rPr>
        <w:t xml:space="preserve">La Ley 6/2001, de 21 de diciembre, </w:t>
      </w:r>
      <w:r w:rsidR="00696E46" w:rsidRPr="005D10C1">
        <w:rPr>
          <w:rFonts w:ascii="Candara" w:hAnsi="Candara"/>
        </w:rPr>
        <w:t>también conocida como L</w:t>
      </w:r>
      <w:r w:rsidR="00C04E1D" w:rsidRPr="005D10C1">
        <w:rPr>
          <w:rFonts w:ascii="Candara" w:hAnsi="Candara"/>
        </w:rPr>
        <w:t>ey Orgánica de Universidades – La L</w:t>
      </w:r>
      <w:r w:rsidR="00696E46" w:rsidRPr="005D10C1">
        <w:rPr>
          <w:rFonts w:ascii="Candara" w:hAnsi="Candara"/>
        </w:rPr>
        <w:t>OU</w:t>
      </w:r>
      <w:r w:rsidR="00C04E1D" w:rsidRPr="005D10C1">
        <w:rPr>
          <w:rFonts w:ascii="Candara" w:hAnsi="Candara"/>
        </w:rPr>
        <w:t>-</w:t>
      </w:r>
      <w:r w:rsidR="00696E46" w:rsidRPr="005D10C1">
        <w:rPr>
          <w:rFonts w:ascii="Candara" w:hAnsi="Candara"/>
        </w:rPr>
        <w:t xml:space="preserve">, incluye </w:t>
      </w:r>
      <w:r w:rsidRPr="005D10C1">
        <w:rPr>
          <w:rFonts w:ascii="Candara" w:hAnsi="Candara"/>
        </w:rPr>
        <w:t xml:space="preserve">la transferencia de conocimiento como una de las funciones de las universidades y </w:t>
      </w:r>
      <w:r w:rsidR="003E7067" w:rsidRPr="005D10C1">
        <w:rPr>
          <w:rFonts w:ascii="Candara" w:hAnsi="Candara"/>
        </w:rPr>
        <w:t>menciona</w:t>
      </w:r>
      <w:r w:rsidRPr="005D10C1">
        <w:rPr>
          <w:rFonts w:ascii="Candara" w:hAnsi="Candara"/>
        </w:rPr>
        <w:t>, la posibilidad de la transferencia de conocimiento a través de la creación de empresas de base tecnológica a partir de la actividad universitaria</w:t>
      </w:r>
      <w:r w:rsidR="003E7067" w:rsidRPr="005D10C1">
        <w:rPr>
          <w:rFonts w:ascii="Candara" w:hAnsi="Candara"/>
        </w:rPr>
        <w:t xml:space="preserve"> o resultados de investigación</w:t>
      </w:r>
      <w:r w:rsidRPr="005D10C1">
        <w:rPr>
          <w:rFonts w:ascii="Candara" w:hAnsi="Candara"/>
        </w:rPr>
        <w:t xml:space="preserve"> </w:t>
      </w:r>
      <w:r w:rsidR="003B0D24" w:rsidRPr="005D10C1">
        <w:rPr>
          <w:rFonts w:ascii="Candara" w:hAnsi="Candara"/>
        </w:rPr>
        <w:fldChar w:fldCharType="begin" w:fldLock="1"/>
      </w:r>
      <w:r w:rsidR="00B15F7B" w:rsidRPr="005D10C1">
        <w:rPr>
          <w:rFonts w:ascii="Candara" w:hAnsi="Candara"/>
        </w:rPr>
        <w:instrText>ADDIN CSL_CITATION { "citationItems" : [ { "id" : "ITEM-1", "itemData" : { "author" : [ { "dropping-particle" : "", "family" : "Diaz", "given" : "Eduardo", "non-dropping-particle" : "", "parse-names" : false, "suffix" : "" }, { "dropping-particle" : "", "family" : "G\u00f3mez", "given" : "Carlos", "non-dropping-particle" : "", "parse-names" : false, "suffix" : "" }, { "dropping-particle" : "", "family" : "Cuervo", "given" : "Javier", "non-dropping-particle" : "", "parse-names" : false, "suffix" : "" }, { "dropping-particle" : "", "family" : "la Sota", "given" : "Jos\u00e9", "non-dropping-particle" : "De", "parse-names" : false, "suffix" : "" } ], "id" : "ITEM-1", "issued" : { "date-parts" : [ [ "2007" ] ] }, "page" : "155", "publisher-place" : "Madrid", "title" : "Gu\u00eda para emprendedores de base tecnol\u00f3gica", "type" : "article" }, "uris" : [ "http://www.mendeley.com/documents/?uuid=f7425267-d811-411f-a08b-7f335ddd736a" ] } ], "mendeley" : { "previouslyFormattedCitation" : "(Diaz, G\u00f3mez, Cuervo, &amp; De la Sota, 2007)" }, "properties" : { "noteIndex" : 0 }, "schema" : "https://github.com/citation-style-language/schema/raw/master/csl-citation.json" }</w:instrText>
      </w:r>
      <w:r w:rsidR="003B0D24" w:rsidRPr="005D10C1">
        <w:rPr>
          <w:rFonts w:ascii="Candara" w:hAnsi="Candara"/>
        </w:rPr>
        <w:fldChar w:fldCharType="separate"/>
      </w:r>
      <w:r w:rsidR="00B15F7B" w:rsidRPr="005D10C1">
        <w:rPr>
          <w:rFonts w:ascii="Candara" w:hAnsi="Candara"/>
          <w:noProof/>
        </w:rPr>
        <w:t>(Diaz, Gómez, Cuervo, &amp; De la Sota, 2007)</w:t>
      </w:r>
      <w:r w:rsidR="003B0D24" w:rsidRPr="005D10C1">
        <w:rPr>
          <w:rFonts w:ascii="Candara" w:hAnsi="Candara"/>
        </w:rPr>
        <w:fldChar w:fldCharType="end"/>
      </w:r>
      <w:r w:rsidR="00B15F7B" w:rsidRPr="005D10C1">
        <w:rPr>
          <w:rFonts w:ascii="Candara" w:hAnsi="Candara"/>
        </w:rPr>
        <w:t>.</w:t>
      </w:r>
      <w:r w:rsidRPr="005D10C1">
        <w:rPr>
          <w:rFonts w:ascii="Candara" w:hAnsi="Candara"/>
        </w:rPr>
        <w:t xml:space="preserve"> </w:t>
      </w:r>
      <w:r w:rsidR="00630A74" w:rsidRPr="005D10C1">
        <w:rPr>
          <w:rFonts w:ascii="Candara" w:hAnsi="Candara"/>
        </w:rPr>
        <w:t>E</w:t>
      </w:r>
      <w:r w:rsidRPr="005D10C1">
        <w:rPr>
          <w:rFonts w:ascii="Candara" w:hAnsi="Candara"/>
        </w:rPr>
        <w:t xml:space="preserve">n el artículo 84 de </w:t>
      </w:r>
      <w:r w:rsidR="00630A74" w:rsidRPr="005D10C1">
        <w:rPr>
          <w:rFonts w:ascii="Candara" w:hAnsi="Candara"/>
        </w:rPr>
        <w:t>esta</w:t>
      </w:r>
      <w:r w:rsidRPr="005D10C1">
        <w:rPr>
          <w:rFonts w:ascii="Candara" w:hAnsi="Candara"/>
        </w:rPr>
        <w:t xml:space="preserve"> ley </w:t>
      </w:r>
      <w:r w:rsidR="00630A74" w:rsidRPr="005D10C1">
        <w:rPr>
          <w:rFonts w:ascii="Candara" w:hAnsi="Candara"/>
        </w:rPr>
        <w:t xml:space="preserve">establece </w:t>
      </w:r>
      <w:r w:rsidRPr="005D10C1">
        <w:rPr>
          <w:rFonts w:ascii="Candara" w:hAnsi="Candara"/>
        </w:rPr>
        <w:t>que las Universidades, con la aprobación del Consejo Social, podrán crear, por sí solas o en colaboración con otras entidades públicas o privadas, empresas, de acuerdo con la legislación general aplicable. En consecuencia, no existen obstáculos legales que impidan a las universidades la creación de sociedades mercantiles dirigidas a explotar comercialmente los resultados de la investigación universitaria</w:t>
      </w:r>
      <w:r w:rsidR="00630A74" w:rsidRPr="005D10C1">
        <w:rPr>
          <w:rFonts w:ascii="Candara" w:hAnsi="Candara"/>
        </w:rPr>
        <w:t xml:space="preserve"> </w:t>
      </w:r>
      <w:r w:rsidR="003B0D24" w:rsidRPr="005D10C1">
        <w:rPr>
          <w:rFonts w:ascii="Candara" w:hAnsi="Candara"/>
        </w:rPr>
        <w:fldChar w:fldCharType="begin" w:fldLock="1"/>
      </w:r>
      <w:r w:rsidR="00CA1A09" w:rsidRPr="005D10C1">
        <w:rPr>
          <w:rFonts w:ascii="Candara" w:hAnsi="Candara"/>
        </w:rPr>
        <w:instrText>ADDIN CSL_CITATION { "citationItems" : [ { "id" : "ITEM-1", "itemData" : { "URL" : "http://www.boe.es/buscar/act.php?id=BOE-A-2001-24515", "accessed" : { "date-parts" : [ [ "2013", "9", "25" ] ] }, "id" : "ITEM-1", "issued" : { "date-parts" : [ [ "2001" ] ] }, "title" : "Ley Org\u00e1nica 6/2001, de 21 de diciembre", "type" : "webpage" }, "uris" : [ "http://www.mendeley.com/documents/?uuid=194407c9-34ce-47a1-b924-b6cd8bf8d713" ] } ], "mendeley" : { "previouslyFormattedCitation" : "(\u201cLey Org\u00e1nica 6/2001, de 21 de diciembre,\u201d 2001)" }, "properties" : { "noteIndex" : 0 }, "schema" : "https://github.com/citation-style-language/schema/raw/master/csl-citation.json" }</w:instrText>
      </w:r>
      <w:r w:rsidR="003B0D24" w:rsidRPr="005D10C1">
        <w:rPr>
          <w:rFonts w:ascii="Candara" w:hAnsi="Candara"/>
        </w:rPr>
        <w:fldChar w:fldCharType="separate"/>
      </w:r>
      <w:r w:rsidR="00584963" w:rsidRPr="005D10C1">
        <w:rPr>
          <w:rFonts w:ascii="Candara" w:hAnsi="Candara"/>
          <w:noProof/>
        </w:rPr>
        <w:t>(“Ley Orgánica 6/2001, de 21 de diciembre,” 2001)</w:t>
      </w:r>
      <w:r w:rsidR="003B0D24" w:rsidRPr="005D10C1">
        <w:rPr>
          <w:rFonts w:ascii="Candara" w:hAnsi="Candara"/>
        </w:rPr>
        <w:fldChar w:fldCharType="end"/>
      </w:r>
      <w:r w:rsidRPr="005D10C1">
        <w:rPr>
          <w:rFonts w:ascii="Candara" w:hAnsi="Candara"/>
        </w:rPr>
        <w:t>.</w:t>
      </w:r>
    </w:p>
    <w:p w14:paraId="2BDBEB45" w14:textId="77777777" w:rsidR="00B264CE" w:rsidRPr="005D10C1" w:rsidRDefault="00B264CE" w:rsidP="006B0B4F">
      <w:pPr>
        <w:spacing w:line="360" w:lineRule="auto"/>
        <w:rPr>
          <w:rFonts w:ascii="Candara" w:hAnsi="Candara"/>
        </w:rPr>
      </w:pPr>
    </w:p>
    <w:p w14:paraId="2EDD8ABD" w14:textId="77777777" w:rsidR="008E1331" w:rsidRPr="005D10C1" w:rsidRDefault="005E5442" w:rsidP="006B0B4F">
      <w:pPr>
        <w:spacing w:line="360" w:lineRule="auto"/>
        <w:rPr>
          <w:rFonts w:ascii="Candara" w:hAnsi="Candara"/>
        </w:rPr>
      </w:pPr>
      <w:r w:rsidRPr="005D10C1">
        <w:rPr>
          <w:rFonts w:ascii="Candara" w:hAnsi="Candara"/>
        </w:rPr>
        <w:t>Esta l</w:t>
      </w:r>
      <w:r w:rsidR="00997DCB" w:rsidRPr="005D10C1">
        <w:rPr>
          <w:rFonts w:ascii="Candara" w:hAnsi="Candara"/>
        </w:rPr>
        <w:t xml:space="preserve">ey </w:t>
      </w:r>
      <w:r w:rsidR="009E004C" w:rsidRPr="005D10C1">
        <w:rPr>
          <w:rFonts w:ascii="Candara" w:hAnsi="Candara"/>
        </w:rPr>
        <w:t xml:space="preserve">abrió </w:t>
      </w:r>
      <w:r w:rsidR="00997DCB" w:rsidRPr="005D10C1">
        <w:rPr>
          <w:rFonts w:ascii="Candara" w:hAnsi="Candara"/>
        </w:rPr>
        <w:t xml:space="preserve">la posibilidad de la creación de </w:t>
      </w:r>
      <w:r w:rsidR="00997DCB" w:rsidRPr="005D10C1">
        <w:rPr>
          <w:rFonts w:ascii="Candara" w:hAnsi="Candara"/>
          <w:i/>
        </w:rPr>
        <w:t>spin-offs</w:t>
      </w:r>
      <w:r w:rsidR="00997DCB" w:rsidRPr="005D10C1">
        <w:rPr>
          <w:rFonts w:ascii="Candara" w:hAnsi="Candara"/>
        </w:rPr>
        <w:t xml:space="preserve"> en las universidades españolas,</w:t>
      </w:r>
      <w:r w:rsidR="009E004C" w:rsidRPr="005D10C1">
        <w:rPr>
          <w:rFonts w:ascii="Candara" w:hAnsi="Candara"/>
        </w:rPr>
        <w:t xml:space="preserve"> mas no la favorece</w:t>
      </w:r>
      <w:r w:rsidR="00630A74" w:rsidRPr="005D10C1">
        <w:rPr>
          <w:rFonts w:ascii="Candara" w:hAnsi="Candara"/>
        </w:rPr>
        <w:t xml:space="preserve">. </w:t>
      </w:r>
    </w:p>
    <w:p w14:paraId="042031E1" w14:textId="77777777" w:rsidR="00B264CE" w:rsidRPr="005D10C1" w:rsidRDefault="008E1331" w:rsidP="006B0B4F">
      <w:pPr>
        <w:spacing w:line="360" w:lineRule="auto"/>
        <w:rPr>
          <w:rFonts w:ascii="Candara" w:hAnsi="Candara"/>
        </w:rPr>
      </w:pPr>
      <w:r w:rsidRPr="005D10C1">
        <w:rPr>
          <w:rFonts w:ascii="Candara" w:hAnsi="Candara"/>
        </w:rPr>
        <w:t>No favorece la creación pues no</w:t>
      </w:r>
      <w:r w:rsidR="00630A74" w:rsidRPr="005D10C1">
        <w:rPr>
          <w:rFonts w:ascii="Candara" w:hAnsi="Candara"/>
        </w:rPr>
        <w:t xml:space="preserve"> </w:t>
      </w:r>
      <w:r w:rsidRPr="005D10C1">
        <w:rPr>
          <w:rFonts w:ascii="Candara" w:hAnsi="Candara"/>
        </w:rPr>
        <w:t>era explícita</w:t>
      </w:r>
      <w:r w:rsidR="00B264CE" w:rsidRPr="005D10C1">
        <w:rPr>
          <w:rFonts w:ascii="Candara" w:hAnsi="Candara"/>
        </w:rPr>
        <w:t xml:space="preserve"> la posibilidad de la participación del profesor en </w:t>
      </w:r>
      <w:r w:rsidRPr="005D10C1">
        <w:rPr>
          <w:rFonts w:ascii="Candara" w:hAnsi="Candara"/>
        </w:rPr>
        <w:t>la participación accionaria</w:t>
      </w:r>
      <w:r w:rsidR="00B264CE" w:rsidRPr="005D10C1">
        <w:rPr>
          <w:rFonts w:ascii="Candara" w:hAnsi="Candara"/>
        </w:rPr>
        <w:t xml:space="preserve">, </w:t>
      </w:r>
      <w:r w:rsidRPr="005D10C1">
        <w:rPr>
          <w:rFonts w:ascii="Candara" w:hAnsi="Candara"/>
        </w:rPr>
        <w:t xml:space="preserve">la participación </w:t>
      </w:r>
      <w:r w:rsidR="00B264CE" w:rsidRPr="005D10C1">
        <w:rPr>
          <w:rFonts w:ascii="Candara" w:hAnsi="Candara"/>
        </w:rPr>
        <w:t xml:space="preserve">en los órganos de administración </w:t>
      </w:r>
      <w:r w:rsidR="00B264CE" w:rsidRPr="005D10C1">
        <w:rPr>
          <w:rFonts w:ascii="Candara" w:hAnsi="Candara"/>
        </w:rPr>
        <w:lastRenderedPageBreak/>
        <w:t xml:space="preserve">o a ocupar un puesto de trabajo en la </w:t>
      </w:r>
      <w:r w:rsidR="00B264CE" w:rsidRPr="005D10C1">
        <w:rPr>
          <w:rFonts w:ascii="Candara" w:hAnsi="Candara"/>
          <w:i/>
        </w:rPr>
        <w:t>spin-off</w:t>
      </w:r>
      <w:r w:rsidR="00B264CE" w:rsidRPr="005D10C1">
        <w:rPr>
          <w:rFonts w:ascii="Candara" w:hAnsi="Candara"/>
        </w:rPr>
        <w:t xml:space="preserve"> </w:t>
      </w:r>
      <w:r w:rsidRPr="005D10C1">
        <w:rPr>
          <w:rFonts w:ascii="Candara" w:hAnsi="Candara"/>
        </w:rPr>
        <w:t xml:space="preserve">en el caso de </w:t>
      </w:r>
      <w:r w:rsidR="00B264CE" w:rsidRPr="005D10C1">
        <w:rPr>
          <w:rFonts w:ascii="Candara" w:hAnsi="Candara"/>
        </w:rPr>
        <w:t>mantener su condición de funcionario.</w:t>
      </w:r>
      <w:r w:rsidR="00C47C31" w:rsidRPr="005D10C1">
        <w:rPr>
          <w:rFonts w:ascii="Candara" w:hAnsi="Candara"/>
        </w:rPr>
        <w:t xml:space="preserve"> De hecho, la Ley de incompatibilidades del personal al servicio de las Administraciones Públicas  (Ley 53 de </w:t>
      </w:r>
      <w:r w:rsidR="00B264CE" w:rsidRPr="005D10C1">
        <w:rPr>
          <w:rFonts w:ascii="Candara" w:hAnsi="Candara"/>
        </w:rPr>
        <w:t>26 de diciembre</w:t>
      </w:r>
      <w:r w:rsidR="00C47C31" w:rsidRPr="005D10C1">
        <w:rPr>
          <w:rFonts w:ascii="Candara" w:hAnsi="Candara"/>
        </w:rPr>
        <w:t xml:space="preserve"> de 1984)</w:t>
      </w:r>
      <w:r w:rsidR="00B264CE" w:rsidRPr="005D10C1">
        <w:rPr>
          <w:rFonts w:ascii="Candara" w:hAnsi="Candara"/>
        </w:rPr>
        <w:t xml:space="preserve"> en su artículo 16.2, es </w:t>
      </w:r>
      <w:r w:rsidRPr="005D10C1">
        <w:rPr>
          <w:rFonts w:ascii="Candara" w:hAnsi="Candara"/>
        </w:rPr>
        <w:t>rígida</w:t>
      </w:r>
      <w:r w:rsidR="00B264CE" w:rsidRPr="005D10C1">
        <w:rPr>
          <w:rFonts w:ascii="Candara" w:hAnsi="Candara"/>
        </w:rPr>
        <w:t xml:space="preserve"> con el personal docente universitario, e </w:t>
      </w:r>
      <w:r w:rsidR="00D212CE" w:rsidRPr="005D10C1">
        <w:rPr>
          <w:rFonts w:ascii="Candara" w:hAnsi="Candara"/>
        </w:rPr>
        <w:t>impedía</w:t>
      </w:r>
      <w:r w:rsidR="00B264CE" w:rsidRPr="005D10C1">
        <w:rPr>
          <w:rFonts w:ascii="Candara" w:hAnsi="Candara"/>
        </w:rPr>
        <w:t xml:space="preserve"> el reconocimiento de compatibilidad si el pr</w:t>
      </w:r>
      <w:r w:rsidR="00A33D34" w:rsidRPr="005D10C1">
        <w:rPr>
          <w:rFonts w:ascii="Candara" w:hAnsi="Candara"/>
        </w:rPr>
        <w:t>ofesor desarrolla su actividad de</w:t>
      </w:r>
      <w:r w:rsidR="00B264CE" w:rsidRPr="005D10C1">
        <w:rPr>
          <w:rFonts w:ascii="Candara" w:hAnsi="Candara"/>
        </w:rPr>
        <w:t xml:space="preserve"> tiempo completo. La actividad académica a tiempo completo tiene la consideración de “especial dedicación”, cosa que no ocurre con otros colectivos del sector público, como, por ejemplo, el personal de administración y servicios de las propias universidades</w:t>
      </w:r>
      <w:r w:rsidR="00630A74" w:rsidRPr="005D10C1">
        <w:rPr>
          <w:rFonts w:ascii="Candara" w:hAnsi="Candara"/>
        </w:rPr>
        <w:t xml:space="preserve"> </w:t>
      </w:r>
      <w:r w:rsidR="003B0D24" w:rsidRPr="005D10C1">
        <w:rPr>
          <w:rFonts w:ascii="Candara" w:hAnsi="Candara"/>
        </w:rPr>
        <w:fldChar w:fldCharType="begin" w:fldLock="1"/>
      </w:r>
      <w:r w:rsidR="00CA1A09" w:rsidRPr="005D10C1">
        <w:rPr>
          <w:rFonts w:ascii="Candara" w:hAnsi="Candara"/>
        </w:rPr>
        <w:instrText>ADDIN CSL_CITATION { "citationItems" : [ { "id" : "ITEM-1", "itemData" : { "URL" : "https://www.boe.es/buscar/doc.php?id=BOE-A-1985-151", "accessed" : { "date-parts" : [ [ "2013", "9", "25" ] ] }, "id" : "ITEM-1", "issued" : { "date-parts" : [ [ "1984" ] ] }, "title" : "Ley 53/1984, de 26 de diciembre, de Incompatibilidades del Personal al Servicio de las Administraciones P\u00fablicas.", "type" : "webpage" }, "uris" : [ "http://www.mendeley.com/documents/?uuid=e8a58f6f-65fc-4132-a081-a464d0a3ba49" ] } ], "mendeley" : { "previouslyFormattedCitation" : "(\u201cLey 53/1984, de 26 de diciembre, de Incompatibilidades del Personal al Servicio de las Administraciones P\u00fablicas.,\u201d 1984)" }, "properties" : { "noteIndex" : 0 }, "schema" : "https://github.com/citation-style-language/schema/raw/master/csl-citation.json" }</w:instrText>
      </w:r>
      <w:r w:rsidR="003B0D24" w:rsidRPr="005D10C1">
        <w:rPr>
          <w:rFonts w:ascii="Candara" w:hAnsi="Candara"/>
        </w:rPr>
        <w:fldChar w:fldCharType="separate"/>
      </w:r>
      <w:r w:rsidR="00584963" w:rsidRPr="005D10C1">
        <w:rPr>
          <w:rFonts w:ascii="Candara" w:hAnsi="Candara"/>
          <w:noProof/>
        </w:rPr>
        <w:t>(“Ley 53/1984, de 26 de diciembre, de Incompatibilidades del Personal al Servicio de las Administraciones Públicas.,” 1984)</w:t>
      </w:r>
      <w:r w:rsidR="003B0D24" w:rsidRPr="005D10C1">
        <w:rPr>
          <w:rFonts w:ascii="Candara" w:hAnsi="Candara"/>
        </w:rPr>
        <w:fldChar w:fldCharType="end"/>
      </w:r>
      <w:r w:rsidR="00B264CE" w:rsidRPr="005D10C1">
        <w:rPr>
          <w:rFonts w:ascii="Candara" w:hAnsi="Candara"/>
        </w:rPr>
        <w:t xml:space="preserve">. </w:t>
      </w:r>
      <w:r w:rsidR="00330D9C" w:rsidRPr="005D10C1">
        <w:rPr>
          <w:rFonts w:ascii="Candara" w:hAnsi="Candara"/>
        </w:rPr>
        <w:t>Bajo esta ley</w:t>
      </w:r>
      <w:r w:rsidR="00B264CE" w:rsidRPr="005D10C1">
        <w:rPr>
          <w:rFonts w:ascii="Candara" w:hAnsi="Candara"/>
        </w:rPr>
        <w:t xml:space="preserve"> el profesor</w:t>
      </w:r>
      <w:r w:rsidRPr="005D10C1">
        <w:rPr>
          <w:rFonts w:ascii="Candara" w:hAnsi="Candara"/>
        </w:rPr>
        <w:t xml:space="preserve"> no pod</w:t>
      </w:r>
      <w:r w:rsidR="00330D9C" w:rsidRPr="005D10C1">
        <w:rPr>
          <w:rFonts w:ascii="Candara" w:hAnsi="Candara"/>
        </w:rPr>
        <w:t>ía</w:t>
      </w:r>
      <w:r w:rsidR="00B264CE" w:rsidRPr="005D10C1">
        <w:rPr>
          <w:rFonts w:ascii="Candara" w:hAnsi="Candara"/>
        </w:rPr>
        <w:t xml:space="preserve"> ser contratado por su </w:t>
      </w:r>
      <w:r w:rsidR="00330D9C" w:rsidRPr="005D10C1">
        <w:rPr>
          <w:rFonts w:ascii="Candara" w:hAnsi="Candara"/>
        </w:rPr>
        <w:t xml:space="preserve">empresa </w:t>
      </w:r>
      <w:r w:rsidR="00B264CE" w:rsidRPr="005D10C1">
        <w:rPr>
          <w:rFonts w:ascii="Candara" w:hAnsi="Candara"/>
          <w:i/>
        </w:rPr>
        <w:t>spin-off</w:t>
      </w:r>
      <w:r w:rsidR="00241DA2" w:rsidRPr="005D10C1">
        <w:rPr>
          <w:rFonts w:ascii="Candara" w:hAnsi="Candara"/>
        </w:rPr>
        <w:t xml:space="preserve"> mientras su dedicación </w:t>
      </w:r>
      <w:r w:rsidRPr="005D10C1">
        <w:rPr>
          <w:rFonts w:ascii="Candara" w:hAnsi="Candara"/>
        </w:rPr>
        <w:t>fuera</w:t>
      </w:r>
      <w:r w:rsidR="00241DA2" w:rsidRPr="005D10C1">
        <w:rPr>
          <w:rFonts w:ascii="Candara" w:hAnsi="Candara"/>
        </w:rPr>
        <w:t xml:space="preserve"> de</w:t>
      </w:r>
      <w:r w:rsidR="00B264CE" w:rsidRPr="005D10C1">
        <w:rPr>
          <w:rFonts w:ascii="Candara" w:hAnsi="Candara"/>
        </w:rPr>
        <w:t xml:space="preserve"> tiempo completo.</w:t>
      </w:r>
    </w:p>
    <w:p w14:paraId="62264793" w14:textId="77777777" w:rsidR="00A03AE8" w:rsidRPr="005D10C1" w:rsidRDefault="00A03AE8" w:rsidP="006B0B4F">
      <w:pPr>
        <w:spacing w:line="360" w:lineRule="auto"/>
        <w:rPr>
          <w:rFonts w:ascii="Candara" w:hAnsi="Candara"/>
        </w:rPr>
      </w:pPr>
    </w:p>
    <w:p w14:paraId="7194AD23" w14:textId="77777777" w:rsidR="00B264CE" w:rsidRPr="005D10C1" w:rsidRDefault="00B264CE" w:rsidP="006B0B4F">
      <w:pPr>
        <w:spacing w:line="360" w:lineRule="auto"/>
        <w:rPr>
          <w:rFonts w:ascii="Candara" w:hAnsi="Candara"/>
        </w:rPr>
      </w:pPr>
      <w:r w:rsidRPr="005D10C1">
        <w:rPr>
          <w:rFonts w:ascii="Candara" w:hAnsi="Candara"/>
        </w:rPr>
        <w:t>La actividad de la empresa est</w:t>
      </w:r>
      <w:r w:rsidR="00241DA2" w:rsidRPr="005D10C1">
        <w:rPr>
          <w:rFonts w:ascii="Candara" w:hAnsi="Candara"/>
        </w:rPr>
        <w:t>á</w:t>
      </w:r>
      <w:r w:rsidRPr="005D10C1">
        <w:rPr>
          <w:rFonts w:ascii="Candara" w:hAnsi="Candara"/>
        </w:rPr>
        <w:t xml:space="preserve"> directamente relacionada con las del departamento universitario en el que el profesor presta sus servicios. </w:t>
      </w:r>
      <w:r w:rsidR="00B15F7B" w:rsidRPr="005D10C1">
        <w:rPr>
          <w:rFonts w:ascii="Candara" w:hAnsi="Candara"/>
        </w:rPr>
        <w:t xml:space="preserve">En relación </w:t>
      </w:r>
      <w:r w:rsidRPr="005D10C1">
        <w:rPr>
          <w:rFonts w:ascii="Candara" w:hAnsi="Candara"/>
        </w:rPr>
        <w:t>con el artículo 12.1.b de la Ley de Incompatibilidades, los p</w:t>
      </w:r>
      <w:r w:rsidR="008E1331" w:rsidRPr="005D10C1">
        <w:rPr>
          <w:rFonts w:ascii="Candara" w:hAnsi="Candara"/>
        </w:rPr>
        <w:t xml:space="preserve">rofesores universitarios no podía </w:t>
      </w:r>
      <w:r w:rsidRPr="005D10C1">
        <w:rPr>
          <w:rFonts w:ascii="Candara" w:hAnsi="Candara"/>
        </w:rPr>
        <w:t xml:space="preserve">formar parte de los consejos de administración ni de los órganos rectores de las </w:t>
      </w:r>
      <w:r w:rsidR="00241DA2" w:rsidRPr="005D10C1">
        <w:rPr>
          <w:rFonts w:ascii="Candara" w:hAnsi="Candara"/>
          <w:i/>
        </w:rPr>
        <w:t>spin-o</w:t>
      </w:r>
      <w:r w:rsidRPr="005D10C1">
        <w:rPr>
          <w:rFonts w:ascii="Candara" w:hAnsi="Candara"/>
          <w:i/>
        </w:rPr>
        <w:t>ffs</w:t>
      </w:r>
      <w:r w:rsidRPr="005D10C1">
        <w:rPr>
          <w:rFonts w:ascii="Candara" w:hAnsi="Candara"/>
        </w:rPr>
        <w:t xml:space="preserve"> </w:t>
      </w:r>
      <w:r w:rsidR="008E1331" w:rsidRPr="005D10C1">
        <w:rPr>
          <w:rFonts w:ascii="Candara" w:hAnsi="Candara"/>
        </w:rPr>
        <w:t xml:space="preserve">en el caso </w:t>
      </w:r>
      <w:r w:rsidRPr="005D10C1">
        <w:rPr>
          <w:rFonts w:ascii="Candara" w:hAnsi="Candara"/>
        </w:rPr>
        <w:t>que su actividad esté directamente relacionada con las que gestione el departamento, organismo o entidad en que preste sus servicios el personal afectado</w:t>
      </w:r>
      <w:r w:rsidR="00630A74" w:rsidRPr="005D10C1">
        <w:rPr>
          <w:rFonts w:ascii="Candara" w:hAnsi="Candara"/>
        </w:rPr>
        <w:t xml:space="preserve"> </w:t>
      </w:r>
      <w:r w:rsidR="003B0D24" w:rsidRPr="005D10C1">
        <w:rPr>
          <w:rFonts w:ascii="Candara" w:hAnsi="Candara"/>
        </w:rPr>
        <w:fldChar w:fldCharType="begin" w:fldLock="1"/>
      </w:r>
      <w:r w:rsidR="00CA1A09" w:rsidRPr="005D10C1">
        <w:rPr>
          <w:rFonts w:ascii="Candara" w:hAnsi="Candara"/>
        </w:rPr>
        <w:instrText>ADDIN CSL_CITATION { "citationItems" : [ { "id" : "ITEM-1", "itemData" : { "URL" : "https://www.boe.es/buscar/doc.php?id=BOE-A-1985-151", "accessed" : { "date-parts" : [ [ "2013", "9", "25" ] ] }, "id" : "ITEM-1", "issued" : { "date-parts" : [ [ "1984" ] ] }, "title" : "Ley 53/1984, de 26 de diciembre, de Incompatibilidades del Personal al Servicio de las Administraciones P\u00fablicas.", "type" : "webpage" }, "uris" : [ "http://www.mendeley.com/documents/?uuid=e8a58f6f-65fc-4132-a081-a464d0a3ba49" ] } ], "mendeley" : { "previouslyFormattedCitation" : "(\u201cLey 53/1984, de 26 de diciembre, de Incompatibilidades del Personal al Servicio de las Administraciones P\u00fablicas.,\u201d 1984)" }, "properties" : { "noteIndex" : 0 }, "schema" : "https://github.com/citation-style-language/schema/raw/master/csl-citation.json" }</w:instrText>
      </w:r>
      <w:r w:rsidR="003B0D24" w:rsidRPr="005D10C1">
        <w:rPr>
          <w:rFonts w:ascii="Candara" w:hAnsi="Candara"/>
        </w:rPr>
        <w:fldChar w:fldCharType="separate"/>
      </w:r>
      <w:r w:rsidR="00584963" w:rsidRPr="005D10C1">
        <w:rPr>
          <w:rFonts w:ascii="Candara" w:hAnsi="Candara"/>
          <w:noProof/>
        </w:rPr>
        <w:t>(“Ley 53/1984, de 26 de diciembre, de Incompatibilidades del Personal al Servicio de las Administraciones Públicas.,” 1984)</w:t>
      </w:r>
      <w:r w:rsidR="003B0D24" w:rsidRPr="005D10C1">
        <w:rPr>
          <w:rFonts w:ascii="Candara" w:hAnsi="Candara"/>
        </w:rPr>
        <w:fldChar w:fldCharType="end"/>
      </w:r>
      <w:r w:rsidRPr="005D10C1">
        <w:rPr>
          <w:rFonts w:ascii="Candara" w:hAnsi="Candara"/>
        </w:rPr>
        <w:t>.</w:t>
      </w:r>
    </w:p>
    <w:p w14:paraId="6FC316A4" w14:textId="77777777" w:rsidR="00B264CE" w:rsidRPr="005D10C1" w:rsidRDefault="00B264CE" w:rsidP="006B0B4F">
      <w:pPr>
        <w:spacing w:line="360" w:lineRule="auto"/>
        <w:rPr>
          <w:rFonts w:ascii="Candara" w:hAnsi="Candara"/>
        </w:rPr>
      </w:pPr>
    </w:p>
    <w:p w14:paraId="2A488665" w14:textId="77777777" w:rsidR="00B264CE" w:rsidRPr="005D10C1" w:rsidRDefault="00B264CE" w:rsidP="006B0B4F">
      <w:pPr>
        <w:spacing w:line="360" w:lineRule="auto"/>
        <w:rPr>
          <w:rFonts w:ascii="Candara" w:hAnsi="Candara"/>
        </w:rPr>
      </w:pPr>
      <w:r w:rsidRPr="005D10C1">
        <w:rPr>
          <w:rFonts w:ascii="Candara" w:hAnsi="Candara"/>
        </w:rPr>
        <w:t xml:space="preserve">En cuanto a la participación del profesor en el capital de la empresa, la Ley de Contratos del Sector Público y la Ley de Incompatibilidades obliga a una participación del profesor en el capital no superior al 10% si la </w:t>
      </w:r>
      <w:r w:rsidRPr="005D10C1">
        <w:rPr>
          <w:rFonts w:ascii="Candara" w:hAnsi="Candara"/>
          <w:i/>
        </w:rPr>
        <w:t>spin-off</w:t>
      </w:r>
      <w:r w:rsidRPr="005D10C1">
        <w:rPr>
          <w:rFonts w:ascii="Candara" w:hAnsi="Candara"/>
        </w:rPr>
        <w:t xml:space="preserve"> quiere tener la posibilidad de contratar co</w:t>
      </w:r>
      <w:r w:rsidR="00696E46" w:rsidRPr="005D10C1">
        <w:rPr>
          <w:rFonts w:ascii="Candara" w:hAnsi="Candara"/>
        </w:rPr>
        <w:t xml:space="preserve">n las administraciones públicas </w:t>
      </w:r>
      <w:r w:rsidR="003B0D24" w:rsidRPr="005D10C1">
        <w:rPr>
          <w:rFonts w:ascii="Candara" w:hAnsi="Candara"/>
        </w:rPr>
        <w:fldChar w:fldCharType="begin" w:fldLock="1"/>
      </w:r>
      <w:r w:rsidR="00CA1A09" w:rsidRPr="005D10C1">
        <w:rPr>
          <w:rFonts w:ascii="Candara" w:hAnsi="Candara"/>
        </w:rPr>
        <w:instrText>ADDIN CSL_CITATION { "citationItems" : [ { "id" : "ITEM-1", "itemData" : { "author" : [ { "dropping-particle" : "", "family" : "Condom", "given" : "P", "non-dropping-particle" : "", "parse-names" : false, "suffix" : "" }, { "dropping-particle" : "", "family" : "Valls", "given" : "J", "non-dropping-particle" : "", "parse-names" : false, "suffix" : "" } ], "container-title" : "Revista Deusto Iniciativa Emprendedora", "id" : "ITEM-1", "issued" : { "date-parts" : [ [ "2003" ] ] }, "title" : "La creaci\u00f3n de empresas desde la universidades espa\u00f1olas: las spin-off", "type" : "article-journal" }, "uris" : [ "http://www.mendeley.com/documents/?uuid=02817582-3099-4578-bc64-f38d46ca4e37" ] } ], "mendeley" : { "previouslyFormattedCitation" : "(Condom &amp; Valls, 2003)" }, "properties" : { "noteIndex" : 0 }, "schema" : "https://github.com/citation-style-language/schema/raw/master/csl-citation.json" }</w:instrText>
      </w:r>
      <w:r w:rsidR="003B0D24" w:rsidRPr="005D10C1">
        <w:rPr>
          <w:rFonts w:ascii="Candara" w:hAnsi="Candara"/>
        </w:rPr>
        <w:fldChar w:fldCharType="separate"/>
      </w:r>
      <w:r w:rsidR="00665B7A" w:rsidRPr="005D10C1">
        <w:rPr>
          <w:rFonts w:ascii="Candara" w:hAnsi="Candara"/>
          <w:noProof/>
        </w:rPr>
        <w:t>(Condom &amp; Valls, 2003)</w:t>
      </w:r>
      <w:r w:rsidR="003B0D24" w:rsidRPr="005D10C1">
        <w:rPr>
          <w:rFonts w:ascii="Candara" w:hAnsi="Candara"/>
        </w:rPr>
        <w:fldChar w:fldCharType="end"/>
      </w:r>
    </w:p>
    <w:p w14:paraId="3B588B10" w14:textId="77777777" w:rsidR="00B264CE" w:rsidRPr="005D10C1" w:rsidRDefault="00B264CE" w:rsidP="006B0B4F">
      <w:pPr>
        <w:spacing w:line="360" w:lineRule="auto"/>
        <w:rPr>
          <w:rFonts w:ascii="Candara" w:hAnsi="Candara"/>
        </w:rPr>
      </w:pPr>
    </w:p>
    <w:p w14:paraId="4EDBAB65" w14:textId="77777777" w:rsidR="00B264CE" w:rsidRPr="005D10C1" w:rsidRDefault="00A62D7A" w:rsidP="0092065E">
      <w:pPr>
        <w:spacing w:line="360" w:lineRule="auto"/>
        <w:rPr>
          <w:rFonts w:ascii="Candara" w:hAnsi="Candara"/>
        </w:rPr>
      </w:pPr>
      <w:r w:rsidRPr="005D10C1">
        <w:rPr>
          <w:rFonts w:ascii="Candara" w:hAnsi="Candara"/>
        </w:rPr>
        <w:lastRenderedPageBreak/>
        <w:t xml:space="preserve">En el año 2007 la LOU es modificada de forma parcial con el propósito de </w:t>
      </w:r>
      <w:r w:rsidR="00B264CE" w:rsidRPr="005D10C1">
        <w:rPr>
          <w:rFonts w:ascii="Candara" w:hAnsi="Candara"/>
        </w:rPr>
        <w:t>potenciar la transferencia de conocimiento a las empresas</w:t>
      </w:r>
      <w:r w:rsidR="00B264CE" w:rsidRPr="005D10C1">
        <w:rPr>
          <w:rFonts w:ascii="Candara" w:hAnsi="Candara"/>
          <w:b/>
        </w:rPr>
        <w:t>.</w:t>
      </w:r>
      <w:r w:rsidR="00156C8F" w:rsidRPr="005D10C1">
        <w:rPr>
          <w:rFonts w:ascii="Candara" w:hAnsi="Candara"/>
          <w:b/>
        </w:rPr>
        <w:t xml:space="preserve"> </w:t>
      </w:r>
      <w:r w:rsidRPr="005D10C1">
        <w:rPr>
          <w:rFonts w:ascii="Candara" w:hAnsi="Candara"/>
        </w:rPr>
        <w:t xml:space="preserve">Y así </w:t>
      </w:r>
      <w:r w:rsidR="00B264CE" w:rsidRPr="005D10C1">
        <w:rPr>
          <w:rFonts w:ascii="Candara" w:hAnsi="Candara"/>
        </w:rPr>
        <w:t>permit</w:t>
      </w:r>
      <w:r w:rsidR="008E1331" w:rsidRPr="005D10C1">
        <w:rPr>
          <w:rFonts w:ascii="Candara" w:hAnsi="Candara"/>
        </w:rPr>
        <w:t>ió</w:t>
      </w:r>
      <w:r w:rsidR="00B264CE" w:rsidRPr="005D10C1">
        <w:rPr>
          <w:rFonts w:ascii="Candara" w:hAnsi="Candara"/>
        </w:rPr>
        <w:t xml:space="preserve"> al profesorado funcionario y contratado permanente universitario</w:t>
      </w:r>
      <w:r w:rsidRPr="005D10C1">
        <w:rPr>
          <w:rFonts w:ascii="Candara" w:hAnsi="Candara"/>
        </w:rPr>
        <w:t>,</w:t>
      </w:r>
      <w:r w:rsidR="00B264CE" w:rsidRPr="005D10C1">
        <w:rPr>
          <w:rFonts w:ascii="Candara" w:hAnsi="Candara"/>
        </w:rPr>
        <w:t xml:space="preserve"> </w:t>
      </w:r>
      <w:r w:rsidRPr="005D10C1">
        <w:rPr>
          <w:rFonts w:ascii="Candara" w:hAnsi="Candara"/>
        </w:rPr>
        <w:t xml:space="preserve">pedir </w:t>
      </w:r>
      <w:r w:rsidR="00B264CE" w:rsidRPr="005D10C1">
        <w:rPr>
          <w:rFonts w:ascii="Candara" w:hAnsi="Candara"/>
        </w:rPr>
        <w:t xml:space="preserve">una excedencia máxima de 5 años para incorporarse a una empresa tecnológica creada o desarrollada a partir de patentes o de resultados generados por proyectos de investigación </w:t>
      </w:r>
      <w:r w:rsidRPr="005D10C1">
        <w:rPr>
          <w:rFonts w:ascii="Candara" w:hAnsi="Candara"/>
        </w:rPr>
        <w:t>originarios de una universidad</w:t>
      </w:r>
      <w:r w:rsidR="00B15F7B" w:rsidRPr="005D10C1">
        <w:rPr>
          <w:rFonts w:ascii="Candara" w:hAnsi="Candara"/>
        </w:rPr>
        <w:t xml:space="preserve">. Con esta modificación suaviza las limitaciones de la Ley de Incompatibilidades </w:t>
      </w:r>
      <w:r w:rsidR="00B264CE" w:rsidRPr="005D10C1">
        <w:rPr>
          <w:rFonts w:ascii="Candara" w:hAnsi="Candara"/>
        </w:rPr>
        <w:t>a los profesores funcionarios</w:t>
      </w:r>
      <w:r w:rsidR="00B15F7B" w:rsidRPr="005D10C1">
        <w:rPr>
          <w:rFonts w:ascii="Candara" w:hAnsi="Candara"/>
        </w:rPr>
        <w:t xml:space="preserve">. Lo cual permitió </w:t>
      </w:r>
      <w:r w:rsidR="001F57C8" w:rsidRPr="005D10C1">
        <w:rPr>
          <w:rFonts w:ascii="Candara" w:hAnsi="Candara"/>
        </w:rPr>
        <w:t>a</w:t>
      </w:r>
      <w:r w:rsidR="00B15F7B" w:rsidRPr="005D10C1">
        <w:rPr>
          <w:rFonts w:ascii="Candara" w:hAnsi="Candara"/>
        </w:rPr>
        <w:t xml:space="preserve"> éstos tener una participación superior al 10% en el capital social</w:t>
      </w:r>
      <w:r w:rsidR="001F57C8" w:rsidRPr="005D10C1">
        <w:rPr>
          <w:rFonts w:ascii="Candara" w:hAnsi="Candara"/>
        </w:rPr>
        <w:t xml:space="preserve"> de estas empresas. </w:t>
      </w:r>
      <w:r w:rsidR="00D212CE" w:rsidRPr="005D10C1">
        <w:rPr>
          <w:rFonts w:ascii="Candara" w:hAnsi="Candara"/>
        </w:rPr>
        <w:t>Algunas de las condiciones para que se diera l</w:t>
      </w:r>
      <w:r w:rsidR="001F57C8" w:rsidRPr="005D10C1">
        <w:rPr>
          <w:rFonts w:ascii="Candara" w:hAnsi="Candara"/>
        </w:rPr>
        <w:t>o anterior es si la empresa es promovida por la universidad</w:t>
      </w:r>
      <w:r w:rsidR="00D212CE" w:rsidRPr="005D10C1">
        <w:rPr>
          <w:rFonts w:ascii="Candara" w:hAnsi="Candara"/>
        </w:rPr>
        <w:t>; que la compañía creada</w:t>
      </w:r>
      <w:r w:rsidR="00B264CE" w:rsidRPr="005D10C1">
        <w:rPr>
          <w:rFonts w:ascii="Candara" w:hAnsi="Candara"/>
        </w:rPr>
        <w:t xml:space="preserve"> </w:t>
      </w:r>
      <w:r w:rsidR="00D212CE" w:rsidRPr="005D10C1">
        <w:rPr>
          <w:rFonts w:ascii="Candara" w:hAnsi="Candara"/>
        </w:rPr>
        <w:t xml:space="preserve">sea </w:t>
      </w:r>
      <w:r w:rsidR="00B264CE" w:rsidRPr="005D10C1">
        <w:rPr>
          <w:rFonts w:ascii="Candara" w:hAnsi="Candara"/>
        </w:rPr>
        <w:t xml:space="preserve">a partir de patentes o de resultados generados por proyectos de investigación realizados en universidades, </w:t>
      </w:r>
      <w:r w:rsidR="00D212CE" w:rsidRPr="005D10C1">
        <w:rPr>
          <w:rFonts w:ascii="Candara" w:hAnsi="Candara"/>
        </w:rPr>
        <w:t xml:space="preserve">y que el </w:t>
      </w:r>
      <w:r w:rsidR="00B264CE" w:rsidRPr="005D10C1">
        <w:rPr>
          <w:rFonts w:ascii="Candara" w:hAnsi="Candara"/>
        </w:rPr>
        <w:t>Consejo Social</w:t>
      </w:r>
      <w:r w:rsidR="00D212CE" w:rsidRPr="005D10C1">
        <w:rPr>
          <w:rFonts w:ascii="Candara" w:hAnsi="Candara"/>
        </w:rPr>
        <w:t xml:space="preserve"> avale</w:t>
      </w:r>
      <w:r w:rsidR="00B264CE" w:rsidRPr="005D10C1">
        <w:rPr>
          <w:rFonts w:ascii="Candara" w:hAnsi="Candara"/>
        </w:rPr>
        <w:t xml:space="preserve"> su creación</w:t>
      </w:r>
      <w:r w:rsidR="00D212CE" w:rsidRPr="005D10C1">
        <w:rPr>
          <w:rFonts w:ascii="Candara" w:hAnsi="Candara"/>
        </w:rPr>
        <w:t xml:space="preserve"> y emite un informe para la participación del profesorado</w:t>
      </w:r>
      <w:r w:rsidR="00B15F7B" w:rsidRPr="005D10C1">
        <w:rPr>
          <w:rFonts w:ascii="Candara" w:hAnsi="Candara"/>
        </w:rPr>
        <w:t xml:space="preserve"> </w:t>
      </w:r>
      <w:r w:rsidR="003B0D24" w:rsidRPr="005D10C1">
        <w:rPr>
          <w:rFonts w:ascii="Candara" w:hAnsi="Candara"/>
        </w:rPr>
        <w:fldChar w:fldCharType="begin" w:fldLock="1"/>
      </w:r>
      <w:r w:rsidR="00B15F7B" w:rsidRPr="005D10C1">
        <w:rPr>
          <w:rFonts w:ascii="Candara" w:hAnsi="Candara"/>
        </w:rPr>
        <w:instrText>ADDIN CSL_CITATION { "citationItems" : [ { "id" : "ITEM-1", "itemData" : { "author" : [ { "dropping-particle" : "", "family" : "Diaz", "given" : "Eduardo", "non-dropping-particle" : "", "parse-names" : false, "suffix" : "" }, { "dropping-particle" : "", "family" : "G\u00f3mez", "given" : "Carlos", "non-dropping-particle" : "", "parse-names" : false, "suffix" : "" }, { "dropping-particle" : "", "family" : "Cuervo", "given" : "Javier", "non-dropping-particle" : "", "parse-names" : false, "suffix" : "" }, { "dropping-particle" : "", "family" : "la Sota", "given" : "Jos\u00e9", "non-dropping-particle" : "De", "parse-names" : false, "suffix" : "" } ], "id" : "ITEM-1", "issued" : { "date-parts" : [ [ "2007" ] ] }, "page" : "155", "publisher-place" : "Madrid", "title" : "Gu\u00eda para emprendedores de base tecnol\u00f3gica", "type" : "article" }, "uris" : [ "http://www.mendeley.com/documents/?uuid=f7425267-d811-411f-a08b-7f335ddd736a" ] } ], "mendeley" : { "previouslyFormattedCitation" : "(Diaz, G\u00f3mez, Cuervo, &amp; De la Sota, 2007)" }, "properties" : { "noteIndex" : 0 }, "schema" : "https://github.com/citation-style-language/schema/raw/master/csl-citation.json" }</w:instrText>
      </w:r>
      <w:r w:rsidR="003B0D24" w:rsidRPr="005D10C1">
        <w:rPr>
          <w:rFonts w:ascii="Candara" w:hAnsi="Candara"/>
        </w:rPr>
        <w:fldChar w:fldCharType="separate"/>
      </w:r>
      <w:r w:rsidR="00B15F7B" w:rsidRPr="005D10C1">
        <w:rPr>
          <w:rFonts w:ascii="Candara" w:hAnsi="Candara"/>
          <w:noProof/>
        </w:rPr>
        <w:t>(Diaz, Gómez, Cuervo, &amp; De la Sota, 2007)</w:t>
      </w:r>
      <w:r w:rsidR="003B0D24" w:rsidRPr="005D10C1">
        <w:rPr>
          <w:rFonts w:ascii="Candara" w:hAnsi="Candara"/>
        </w:rPr>
        <w:fldChar w:fldCharType="end"/>
      </w:r>
      <w:r w:rsidR="0053112C" w:rsidRPr="005D10C1">
        <w:rPr>
          <w:rFonts w:ascii="Candara" w:hAnsi="Candara"/>
        </w:rPr>
        <w:t>.</w:t>
      </w:r>
    </w:p>
    <w:p w14:paraId="5C4B1F93" w14:textId="77777777" w:rsidR="00B264CE" w:rsidRPr="005D10C1" w:rsidRDefault="00B264CE" w:rsidP="006B0B4F">
      <w:pPr>
        <w:spacing w:line="360" w:lineRule="auto"/>
        <w:rPr>
          <w:rFonts w:ascii="Candara" w:hAnsi="Candara"/>
        </w:rPr>
      </w:pPr>
    </w:p>
    <w:p w14:paraId="49073B18" w14:textId="77777777" w:rsidR="00B264CE" w:rsidRPr="005D10C1" w:rsidRDefault="00512DB9" w:rsidP="006B0B4F">
      <w:pPr>
        <w:spacing w:line="360" w:lineRule="auto"/>
        <w:rPr>
          <w:rFonts w:ascii="Candara" w:hAnsi="Candara"/>
        </w:rPr>
      </w:pPr>
      <w:r w:rsidRPr="005D10C1">
        <w:rPr>
          <w:rFonts w:ascii="Candara" w:hAnsi="Candara"/>
        </w:rPr>
        <w:t>L</w:t>
      </w:r>
      <w:r w:rsidR="00B264CE" w:rsidRPr="005D10C1">
        <w:rPr>
          <w:rFonts w:ascii="Candara" w:hAnsi="Candara"/>
        </w:rPr>
        <w:t>a nueva Ley de la Ciencia</w:t>
      </w:r>
      <w:r w:rsidR="00156C8F" w:rsidRPr="005D10C1">
        <w:rPr>
          <w:rFonts w:ascii="Candara" w:hAnsi="Candara"/>
        </w:rPr>
        <w:t>, la Tecnología y la Innovación</w:t>
      </w:r>
      <w:r w:rsidR="00B264CE" w:rsidRPr="005D10C1">
        <w:rPr>
          <w:rFonts w:ascii="Candara" w:hAnsi="Candara"/>
        </w:rPr>
        <w:t xml:space="preserve"> </w:t>
      </w:r>
      <w:r w:rsidRPr="005D10C1">
        <w:rPr>
          <w:rFonts w:ascii="Candara" w:hAnsi="Candara"/>
        </w:rPr>
        <w:t>del 2011</w:t>
      </w:r>
      <w:r w:rsidR="0092065E" w:rsidRPr="005D10C1">
        <w:rPr>
          <w:rFonts w:ascii="Candara" w:hAnsi="Candara"/>
        </w:rPr>
        <w:t xml:space="preserve"> c</w:t>
      </w:r>
      <w:r w:rsidR="00566AEA" w:rsidRPr="005D10C1">
        <w:rPr>
          <w:rFonts w:ascii="Candara" w:hAnsi="Candara"/>
        </w:rPr>
        <w:t>ontiene</w:t>
      </w:r>
      <w:r w:rsidR="00B264CE" w:rsidRPr="005D10C1">
        <w:rPr>
          <w:rFonts w:ascii="Candara" w:hAnsi="Candara"/>
        </w:rPr>
        <w:t xml:space="preserve"> modificaciones que afectan </w:t>
      </w:r>
      <w:r w:rsidR="00EC399B" w:rsidRPr="005D10C1">
        <w:rPr>
          <w:rFonts w:ascii="Candara" w:hAnsi="Candara"/>
        </w:rPr>
        <w:t>de forma positiva e</w:t>
      </w:r>
      <w:r w:rsidR="00B264CE" w:rsidRPr="005D10C1">
        <w:rPr>
          <w:rFonts w:ascii="Candara" w:hAnsi="Candara"/>
        </w:rPr>
        <w:t>l entorno normativo de la protección y transferencia de los resultados de la investigación, en general, y de la creación de EBT, y van dirigidas a favorecer ambos procesos en las universidades españolas</w:t>
      </w:r>
      <w:r w:rsidR="00DC2CFA" w:rsidRPr="005D10C1">
        <w:rPr>
          <w:rFonts w:ascii="Candara" w:hAnsi="Candara"/>
        </w:rPr>
        <w:t xml:space="preserve">, tal como se mencionó con anterioridad el Plan estatal apoya y desarrolla dicha ley </w:t>
      </w:r>
      <w:r w:rsidR="003B0D24" w:rsidRPr="005D10C1">
        <w:rPr>
          <w:rFonts w:ascii="Candara" w:hAnsi="Candara"/>
        </w:rPr>
        <w:fldChar w:fldCharType="begin" w:fldLock="1"/>
      </w:r>
      <w:r w:rsidR="00CA1A09" w:rsidRPr="005D10C1">
        <w:rPr>
          <w:rFonts w:ascii="Candara" w:hAnsi="Candara"/>
        </w:rPr>
        <w:instrText>ADDIN CSL_CITATION { "citationItems" : [ { "id" : "ITEM-1", "itemData" : { "URL" : "http://www.boe.es/diario_boe/txt.php?id=BOE-A-2011-9617", "accessed" : { "date-parts" : [ [ "2013", "9", "25" ] ] }, "id" : "ITEM-1", "issued" : { "date-parts" : [ [ "2011" ] ] }, "title" : "Ley 14/2011, de la Ciencia, la Tecnolog\u00eda y la Innovaci\u00f3n", "type" : "webpage" }, "uris" : [ "http://www.mendeley.com/documents/?uuid=2a345204-7700-4457-bf35-63c87fc62140" ] } ], "mendeley" : { "previouslyFormattedCitation" : "(\u201cLey 14/2011, de la Ciencia, la Tecnolog\u00eda y la Innovaci\u00f3n,\u201d 2011)" }, "properties" : { "noteIndex" : 0 }, "schema" : "https://github.com/citation-style-language/schema/raw/master/csl-citation.json" }</w:instrText>
      </w:r>
      <w:r w:rsidR="003B0D24" w:rsidRPr="005D10C1">
        <w:rPr>
          <w:rFonts w:ascii="Candara" w:hAnsi="Candara"/>
        </w:rPr>
        <w:fldChar w:fldCharType="separate"/>
      </w:r>
      <w:r w:rsidR="00DC2CFA" w:rsidRPr="005D10C1">
        <w:rPr>
          <w:rFonts w:ascii="Candara" w:hAnsi="Candara"/>
          <w:noProof/>
        </w:rPr>
        <w:t>(“Ley 14/2011, de la Ciencia, la Tecnología y la Innovación,” 2011)</w:t>
      </w:r>
      <w:r w:rsidR="003B0D24" w:rsidRPr="005D10C1">
        <w:rPr>
          <w:rFonts w:ascii="Candara" w:hAnsi="Candara"/>
        </w:rPr>
        <w:fldChar w:fldCharType="end"/>
      </w:r>
      <w:r w:rsidR="00DC2CFA" w:rsidRPr="005D10C1">
        <w:rPr>
          <w:rFonts w:ascii="Candara" w:hAnsi="Candara"/>
        </w:rPr>
        <w:t>.</w:t>
      </w:r>
    </w:p>
    <w:p w14:paraId="3572E8C0" w14:textId="77777777" w:rsidR="00C24831" w:rsidRPr="005D10C1" w:rsidRDefault="00C24831" w:rsidP="006B0B4F">
      <w:pPr>
        <w:spacing w:line="360" w:lineRule="auto"/>
        <w:rPr>
          <w:rFonts w:ascii="Candara" w:hAnsi="Candara"/>
        </w:rPr>
      </w:pPr>
    </w:p>
    <w:p w14:paraId="1457F035" w14:textId="77777777" w:rsidR="00C24831" w:rsidRPr="005D10C1" w:rsidRDefault="00C24831" w:rsidP="00C24831">
      <w:pPr>
        <w:spacing w:line="360" w:lineRule="auto"/>
        <w:rPr>
          <w:rFonts w:ascii="Candara" w:hAnsi="Candara"/>
          <w:i/>
        </w:rPr>
      </w:pPr>
      <w:r w:rsidRPr="005D10C1">
        <w:rPr>
          <w:rFonts w:ascii="Candara" w:hAnsi="Candara"/>
          <w:i/>
        </w:rPr>
        <w:t>Programas</w:t>
      </w:r>
    </w:p>
    <w:p w14:paraId="0CA6EEA9" w14:textId="77777777" w:rsidR="00F7766B" w:rsidRPr="005D10C1" w:rsidRDefault="00F7766B" w:rsidP="00F00E17">
      <w:pPr>
        <w:spacing w:line="360" w:lineRule="auto"/>
        <w:rPr>
          <w:rFonts w:ascii="Candara" w:hAnsi="Candara"/>
        </w:rPr>
      </w:pPr>
    </w:p>
    <w:p w14:paraId="7B1E6EDB" w14:textId="77777777" w:rsidR="00C24831" w:rsidRPr="005D10C1" w:rsidRDefault="00F7766B" w:rsidP="00F00E17">
      <w:pPr>
        <w:spacing w:line="360" w:lineRule="auto"/>
        <w:rPr>
          <w:rFonts w:ascii="Candara" w:hAnsi="Candara"/>
        </w:rPr>
      </w:pPr>
      <w:r w:rsidRPr="005D10C1">
        <w:rPr>
          <w:rFonts w:ascii="Candara" w:hAnsi="Candara"/>
        </w:rPr>
        <w:t xml:space="preserve">En lo referente a los programas de apoyo para la creación de spin-off en el caso español, </w:t>
      </w:r>
      <w:r w:rsidR="00F76B64" w:rsidRPr="005D10C1">
        <w:rPr>
          <w:rFonts w:ascii="Candara" w:hAnsi="Candara"/>
        </w:rPr>
        <w:t xml:space="preserve"> </w:t>
      </w:r>
      <w:r w:rsidR="006E6E63" w:rsidRPr="005D10C1">
        <w:rPr>
          <w:rFonts w:ascii="Candara" w:hAnsi="Candara"/>
        </w:rPr>
        <w:t xml:space="preserve">desde el 2013 </w:t>
      </w:r>
      <w:r w:rsidR="00C86053" w:rsidRPr="005D10C1">
        <w:rPr>
          <w:rFonts w:ascii="Candara" w:hAnsi="Candara"/>
        </w:rPr>
        <w:t xml:space="preserve">se </w:t>
      </w:r>
      <w:r w:rsidR="006E6E63" w:rsidRPr="005D10C1">
        <w:rPr>
          <w:rFonts w:ascii="Candara" w:hAnsi="Candara"/>
        </w:rPr>
        <w:t>estableció</w:t>
      </w:r>
      <w:r w:rsidR="00C86053" w:rsidRPr="005D10C1">
        <w:rPr>
          <w:rFonts w:ascii="Candara" w:hAnsi="Candara"/>
        </w:rPr>
        <w:t xml:space="preserve"> </w:t>
      </w:r>
      <w:r w:rsidR="00C24831" w:rsidRPr="005D10C1">
        <w:rPr>
          <w:rFonts w:ascii="Candara" w:hAnsi="Candara"/>
        </w:rPr>
        <w:t xml:space="preserve">el </w:t>
      </w:r>
      <w:r w:rsidR="00F76B64" w:rsidRPr="005D10C1">
        <w:rPr>
          <w:rFonts w:ascii="Candara" w:hAnsi="Candara"/>
          <w:i/>
        </w:rPr>
        <w:t>Programa estatal de Impulso al L</w:t>
      </w:r>
      <w:r w:rsidR="00C24831" w:rsidRPr="005D10C1">
        <w:rPr>
          <w:rFonts w:ascii="Candara" w:hAnsi="Candara"/>
          <w:i/>
        </w:rPr>
        <w:t xml:space="preserve">iderazgo </w:t>
      </w:r>
      <w:r w:rsidR="00F76B64" w:rsidRPr="005D10C1">
        <w:rPr>
          <w:rFonts w:ascii="Candara" w:hAnsi="Candara"/>
          <w:i/>
        </w:rPr>
        <w:t>E</w:t>
      </w:r>
      <w:r w:rsidR="00C24831" w:rsidRPr="005D10C1">
        <w:rPr>
          <w:rFonts w:ascii="Candara" w:hAnsi="Candara"/>
          <w:i/>
        </w:rPr>
        <w:t xml:space="preserve">mpresarial en </w:t>
      </w:r>
      <w:r w:rsidR="000A0280" w:rsidRPr="005D10C1">
        <w:rPr>
          <w:rFonts w:ascii="Candara" w:hAnsi="Candara"/>
          <w:i/>
        </w:rPr>
        <w:t>I+D+i</w:t>
      </w:r>
      <w:r w:rsidRPr="005D10C1">
        <w:rPr>
          <w:rFonts w:ascii="Candara" w:hAnsi="Candara"/>
          <w:i/>
        </w:rPr>
        <w:t xml:space="preserve"> </w:t>
      </w:r>
      <w:r w:rsidR="00C86053" w:rsidRPr="005D10C1">
        <w:rPr>
          <w:rFonts w:ascii="Candara" w:hAnsi="Candara"/>
        </w:rPr>
        <w:t>en el cual se ha incluido un</w:t>
      </w:r>
      <w:r w:rsidR="00BA31A4" w:rsidRPr="005D10C1">
        <w:rPr>
          <w:rFonts w:ascii="Candara" w:hAnsi="Candara"/>
        </w:rPr>
        <w:t xml:space="preserve"> instrumento de </w:t>
      </w:r>
      <w:r w:rsidR="00C24831" w:rsidRPr="005D10C1">
        <w:rPr>
          <w:rFonts w:ascii="Candara" w:hAnsi="Candara"/>
          <w:i/>
        </w:rPr>
        <w:t xml:space="preserve">financiación mediante </w:t>
      </w:r>
      <w:r w:rsidR="00BA31A4" w:rsidRPr="005D10C1">
        <w:rPr>
          <w:rFonts w:ascii="Candara" w:hAnsi="Candara"/>
          <w:i/>
        </w:rPr>
        <w:t xml:space="preserve">el </w:t>
      </w:r>
      <w:r w:rsidR="00C24831" w:rsidRPr="005D10C1">
        <w:rPr>
          <w:rFonts w:ascii="Candara" w:hAnsi="Candara"/>
          <w:i/>
        </w:rPr>
        <w:t>capital</w:t>
      </w:r>
      <w:r w:rsidR="00BA31A4" w:rsidRPr="005D10C1">
        <w:rPr>
          <w:rFonts w:ascii="Candara" w:hAnsi="Candara"/>
          <w:i/>
        </w:rPr>
        <w:t xml:space="preserve"> de </w:t>
      </w:r>
      <w:r w:rsidR="00C24831" w:rsidRPr="005D10C1">
        <w:rPr>
          <w:rFonts w:ascii="Candara" w:hAnsi="Candara"/>
          <w:i/>
        </w:rPr>
        <w:t xml:space="preserve">riesgo y </w:t>
      </w:r>
      <w:r w:rsidR="00D611B9" w:rsidRPr="005D10C1">
        <w:rPr>
          <w:rFonts w:ascii="Candara" w:hAnsi="Candara"/>
          <w:i/>
        </w:rPr>
        <w:t xml:space="preserve">el </w:t>
      </w:r>
      <w:r w:rsidR="00C24831" w:rsidRPr="005D10C1">
        <w:rPr>
          <w:rFonts w:ascii="Candara" w:hAnsi="Candara"/>
          <w:i/>
        </w:rPr>
        <w:t>estímulo a la creación, consolidación y crecimiento de empresas altamente innovadoras</w:t>
      </w:r>
      <w:r w:rsidRPr="005D10C1">
        <w:rPr>
          <w:rFonts w:ascii="Candara" w:hAnsi="Candara"/>
          <w:i/>
        </w:rPr>
        <w:t xml:space="preserve"> </w:t>
      </w:r>
      <w:r w:rsidR="00BA31A4" w:rsidRPr="005D10C1">
        <w:rPr>
          <w:rFonts w:ascii="Candara" w:hAnsi="Candara"/>
        </w:rPr>
        <w:t xml:space="preserve">con el </w:t>
      </w:r>
      <w:r w:rsidR="00C24831" w:rsidRPr="005D10C1">
        <w:rPr>
          <w:rFonts w:ascii="Candara" w:hAnsi="Candara"/>
        </w:rPr>
        <w:t xml:space="preserve">capital semilla para el apoyo en el inicio de nuevas empresas de base tecnológica, </w:t>
      </w:r>
      <w:r w:rsidR="00C24831" w:rsidRPr="005D10C1">
        <w:rPr>
          <w:rFonts w:ascii="Candara" w:hAnsi="Candara"/>
        </w:rPr>
        <w:lastRenderedPageBreak/>
        <w:t xml:space="preserve">especialmente las </w:t>
      </w:r>
      <w:r w:rsidR="00C24831" w:rsidRPr="005D10C1">
        <w:rPr>
          <w:rFonts w:ascii="Candara" w:hAnsi="Candara"/>
          <w:i/>
        </w:rPr>
        <w:t>spin off</w:t>
      </w:r>
      <w:r w:rsidR="00C24831" w:rsidRPr="005D10C1">
        <w:rPr>
          <w:rFonts w:ascii="Candara" w:hAnsi="Candara"/>
        </w:rPr>
        <w:t xml:space="preserve"> de ámbito público, así como a emprendedores individuales. En el programa estatal de </w:t>
      </w:r>
      <w:r w:rsidR="000A0280" w:rsidRPr="005D10C1">
        <w:rPr>
          <w:rFonts w:ascii="Candara" w:hAnsi="Candara"/>
        </w:rPr>
        <w:t>I+D+i</w:t>
      </w:r>
      <w:r w:rsidR="00C24831" w:rsidRPr="005D10C1">
        <w:rPr>
          <w:rFonts w:ascii="Candara" w:hAnsi="Candara"/>
        </w:rPr>
        <w:t xml:space="preserve"> orientad</w:t>
      </w:r>
      <w:r w:rsidR="00C86053" w:rsidRPr="005D10C1">
        <w:rPr>
          <w:rFonts w:ascii="Candara" w:hAnsi="Candara"/>
        </w:rPr>
        <w:t>o</w:t>
      </w:r>
      <w:r w:rsidR="00C24831" w:rsidRPr="005D10C1">
        <w:rPr>
          <w:rFonts w:ascii="Candara" w:hAnsi="Candara"/>
        </w:rPr>
        <w:t xml:space="preserve"> a los retos de la sociedad </w:t>
      </w:r>
      <w:r w:rsidR="00C86053" w:rsidRPr="005D10C1">
        <w:rPr>
          <w:rFonts w:ascii="Candara" w:hAnsi="Candara"/>
        </w:rPr>
        <w:t xml:space="preserve">se </w:t>
      </w:r>
      <w:r w:rsidR="006B55C1" w:rsidRPr="005D10C1">
        <w:rPr>
          <w:rFonts w:ascii="Candara" w:hAnsi="Candara"/>
        </w:rPr>
        <w:t>menciona</w:t>
      </w:r>
      <w:r w:rsidR="00C86053" w:rsidRPr="005D10C1">
        <w:rPr>
          <w:rFonts w:ascii="Candara" w:hAnsi="Candara"/>
        </w:rPr>
        <w:t>n</w:t>
      </w:r>
      <w:r w:rsidR="006B55C1" w:rsidRPr="005D10C1">
        <w:rPr>
          <w:rFonts w:ascii="Candara" w:hAnsi="Candara"/>
        </w:rPr>
        <w:t xml:space="preserve"> ciertas convocatorias dirigidas a los agentes del S</w:t>
      </w:r>
      <w:r w:rsidR="00651A3A" w:rsidRPr="005D10C1">
        <w:rPr>
          <w:rFonts w:ascii="Candara" w:hAnsi="Candara"/>
        </w:rPr>
        <w:t xml:space="preserve">istema </w:t>
      </w:r>
      <w:r w:rsidR="006B55C1" w:rsidRPr="005D10C1">
        <w:rPr>
          <w:rFonts w:ascii="Candara" w:hAnsi="Candara"/>
        </w:rPr>
        <w:t>N</w:t>
      </w:r>
      <w:r w:rsidR="00651A3A" w:rsidRPr="005D10C1">
        <w:rPr>
          <w:rFonts w:ascii="Candara" w:hAnsi="Candara"/>
        </w:rPr>
        <w:t>acional de Innovación</w:t>
      </w:r>
      <w:r w:rsidR="006B55C1" w:rsidRPr="005D10C1">
        <w:rPr>
          <w:rFonts w:ascii="Candara" w:hAnsi="Candara"/>
        </w:rPr>
        <w:t xml:space="preserve">, específicamente para la creación de </w:t>
      </w:r>
      <w:r w:rsidR="006B55C1" w:rsidRPr="005D10C1">
        <w:rPr>
          <w:rFonts w:ascii="Candara" w:hAnsi="Candara"/>
          <w:i/>
        </w:rPr>
        <w:t>spin-off</w:t>
      </w:r>
      <w:r w:rsidR="00C86053" w:rsidRPr="005D10C1">
        <w:rPr>
          <w:rFonts w:ascii="Candara" w:hAnsi="Candara"/>
          <w:i/>
        </w:rPr>
        <w:t xml:space="preserve"> </w:t>
      </w:r>
      <w:r w:rsidR="00F00E17" w:rsidRPr="005D10C1">
        <w:rPr>
          <w:rFonts w:ascii="Candara" w:hAnsi="Candara"/>
        </w:rPr>
        <w:t>establece nuevos modelos, estructuras y plataformas de negocio que favorezcan la aproximación e integración de emprendedores,</w:t>
      </w:r>
      <w:r w:rsidR="00C1618E" w:rsidRPr="005D10C1">
        <w:rPr>
          <w:rFonts w:ascii="Candara" w:hAnsi="Candara"/>
        </w:rPr>
        <w:t xml:space="preserve"> </w:t>
      </w:r>
      <w:r w:rsidR="00F00E17" w:rsidRPr="005D10C1">
        <w:rPr>
          <w:rFonts w:ascii="Candara" w:hAnsi="Candara"/>
        </w:rPr>
        <w:t xml:space="preserve">tecnólogos, inventores y capital riesgo para la creación de este tipo de compañías </w:t>
      </w:r>
      <w:r w:rsidR="003B0D24" w:rsidRPr="005D10C1">
        <w:rPr>
          <w:rFonts w:ascii="Candara" w:hAnsi="Candara"/>
        </w:rPr>
        <w:fldChar w:fldCharType="begin" w:fldLock="1"/>
      </w:r>
      <w:r w:rsidR="00CA1A09" w:rsidRPr="005D10C1">
        <w:rPr>
          <w:rFonts w:ascii="Candara" w:hAnsi="Candara"/>
        </w:rPr>
        <w:instrText>ADDIN CSL_CITATION { "citationItems" : [ { "id" : "ITEM-1", "itemData" : { "id" : "ITEM-1", "issued" : { "date-parts" : [ [ "2013" ] ] }, "title" : "Plan estatal de investigaci\u00f3n cient\u00edfica, t\u00e9cnica y de innovaci\u00f3n 2013-2016", "type" : "article" }, "uris" : [ "http://www.mendeley.com/documents/?uuid=854631b1-5c60-457b-9d0d-c0d43b753bb9", "http://www.mendeley.com/documents/?uuid=94b6f5d9-5d47-4aa1-868a-c36d32cc0a4d" ] } ], "mendeley" : { "previouslyFormattedCitation" : "(\u201cPlan estatal de investigaci\u00f3n cient\u00edfica, t\u00e9cnica y de innovaci\u00f3n 2013-2016,\u201d 2013b)" }, "properties" : { "noteIndex" : 0 }, "schema" : "https://github.com/citation-style-language/schema/raw/master/csl-citation.json" }</w:instrText>
      </w:r>
      <w:r w:rsidR="003B0D24" w:rsidRPr="005D10C1">
        <w:rPr>
          <w:rFonts w:ascii="Candara" w:hAnsi="Candara"/>
        </w:rPr>
        <w:fldChar w:fldCharType="separate"/>
      </w:r>
      <w:r w:rsidR="00C24831" w:rsidRPr="005D10C1">
        <w:rPr>
          <w:rFonts w:ascii="Candara" w:hAnsi="Candara"/>
          <w:noProof/>
        </w:rPr>
        <w:t>(“Plan estatal de investigación científica, técnica y de innovación 2013-2016,” 2013b)</w:t>
      </w:r>
      <w:r w:rsidR="003B0D24" w:rsidRPr="005D10C1">
        <w:rPr>
          <w:rFonts w:ascii="Candara" w:hAnsi="Candara"/>
        </w:rPr>
        <w:fldChar w:fldCharType="end"/>
      </w:r>
      <w:r w:rsidR="00C24831" w:rsidRPr="005D10C1">
        <w:rPr>
          <w:rFonts w:ascii="Candara" w:hAnsi="Candara"/>
        </w:rPr>
        <w:t xml:space="preserve">. </w:t>
      </w:r>
    </w:p>
    <w:p w14:paraId="598FC0DE" w14:textId="77777777" w:rsidR="00D50430" w:rsidRPr="005D10C1" w:rsidRDefault="00D50430">
      <w:pPr>
        <w:rPr>
          <w:rFonts w:ascii="Candara" w:hAnsi="Candara"/>
        </w:rPr>
      </w:pPr>
      <w:r w:rsidRPr="005D10C1">
        <w:rPr>
          <w:rFonts w:ascii="Candara" w:hAnsi="Candara"/>
        </w:rPr>
        <w:br w:type="page"/>
      </w:r>
    </w:p>
    <w:p w14:paraId="7AE6E17B" w14:textId="77777777" w:rsidR="00D50430" w:rsidRPr="005D10C1" w:rsidRDefault="00D50430" w:rsidP="00D50430">
      <w:pPr>
        <w:pStyle w:val="Ttulo1"/>
        <w:numPr>
          <w:ilvl w:val="0"/>
          <w:numId w:val="0"/>
        </w:numPr>
        <w:ind w:left="432"/>
        <w:rPr>
          <w:rFonts w:ascii="Candara" w:hAnsi="Candara"/>
          <w:color w:val="auto"/>
        </w:rPr>
      </w:pPr>
    </w:p>
    <w:p w14:paraId="06652DEA" w14:textId="77777777" w:rsidR="00D50430" w:rsidRPr="005D10C1" w:rsidRDefault="00211FF5" w:rsidP="00D50430">
      <w:pPr>
        <w:pStyle w:val="Ttulo1"/>
        <w:rPr>
          <w:rFonts w:ascii="Candara" w:hAnsi="Candara"/>
          <w:color w:val="auto"/>
        </w:rPr>
      </w:pPr>
      <w:bookmarkStart w:id="272" w:name="_Toc377653155"/>
      <w:r w:rsidRPr="005D10C1">
        <w:rPr>
          <w:rFonts w:ascii="Candara" w:hAnsi="Candara"/>
          <w:color w:val="auto"/>
        </w:rPr>
        <w:t>Marco Nacional</w:t>
      </w:r>
      <w:bookmarkEnd w:id="272"/>
    </w:p>
    <w:p w14:paraId="729F11CB" w14:textId="77777777" w:rsidR="006F6FF6" w:rsidRPr="005D10C1" w:rsidRDefault="006F6FF6" w:rsidP="006F6FF6">
      <w:pPr>
        <w:rPr>
          <w:rFonts w:ascii="Candara" w:hAnsi="Candara"/>
        </w:rPr>
      </w:pPr>
    </w:p>
    <w:p w14:paraId="5B7A83E4" w14:textId="77777777" w:rsidR="00101DC7" w:rsidRPr="005D10C1" w:rsidRDefault="00280629" w:rsidP="00101DC7">
      <w:pPr>
        <w:pStyle w:val="Ttulo2"/>
        <w:rPr>
          <w:rFonts w:ascii="Candara" w:hAnsi="Candara"/>
          <w:color w:val="auto"/>
        </w:rPr>
      </w:pPr>
      <w:bookmarkStart w:id="273" w:name="_Toc377653156"/>
      <w:r w:rsidRPr="005D10C1">
        <w:rPr>
          <w:rFonts w:ascii="Candara" w:hAnsi="Candara"/>
          <w:color w:val="auto"/>
        </w:rPr>
        <w:t xml:space="preserve">Sistema </w:t>
      </w:r>
      <w:r w:rsidR="006F6FF6" w:rsidRPr="005D10C1">
        <w:rPr>
          <w:rFonts w:ascii="Candara" w:hAnsi="Candara"/>
          <w:color w:val="auto"/>
        </w:rPr>
        <w:t xml:space="preserve">Nacional </w:t>
      </w:r>
      <w:r w:rsidRPr="005D10C1">
        <w:rPr>
          <w:rFonts w:ascii="Candara" w:hAnsi="Candara"/>
          <w:color w:val="auto"/>
        </w:rPr>
        <w:t>d</w:t>
      </w:r>
      <w:r w:rsidR="004D02D7" w:rsidRPr="005D10C1">
        <w:rPr>
          <w:rFonts w:ascii="Candara" w:hAnsi="Candara"/>
          <w:color w:val="auto"/>
        </w:rPr>
        <w:t xml:space="preserve">e Ciencia Tecnología </w:t>
      </w:r>
      <w:r w:rsidRPr="005D10C1">
        <w:rPr>
          <w:rFonts w:ascii="Candara" w:hAnsi="Candara"/>
          <w:color w:val="auto"/>
        </w:rPr>
        <w:t>e</w:t>
      </w:r>
      <w:r w:rsidR="004D02D7" w:rsidRPr="005D10C1">
        <w:rPr>
          <w:rFonts w:ascii="Candara" w:hAnsi="Candara"/>
          <w:color w:val="auto"/>
        </w:rPr>
        <w:t xml:space="preserve"> Innovación SNCTI</w:t>
      </w:r>
      <w:bookmarkEnd w:id="273"/>
    </w:p>
    <w:p w14:paraId="0622B872" w14:textId="77777777" w:rsidR="00101DC7" w:rsidRPr="005D10C1" w:rsidRDefault="00101DC7" w:rsidP="00101DC7">
      <w:pPr>
        <w:rPr>
          <w:rFonts w:ascii="Candara" w:hAnsi="Candara"/>
        </w:rPr>
      </w:pPr>
    </w:p>
    <w:p w14:paraId="7D0A8F21" w14:textId="77777777" w:rsidR="00931976" w:rsidRPr="005D10C1" w:rsidRDefault="00931976" w:rsidP="003D0C91">
      <w:pPr>
        <w:spacing w:line="360" w:lineRule="auto"/>
        <w:rPr>
          <w:rFonts w:ascii="Candara" w:hAnsi="Candara"/>
        </w:rPr>
      </w:pPr>
    </w:p>
    <w:p w14:paraId="1921DB27" w14:textId="77777777" w:rsidR="00101DC7" w:rsidRPr="005D10C1" w:rsidRDefault="003D0C91" w:rsidP="003D0C91">
      <w:pPr>
        <w:spacing w:line="360" w:lineRule="auto"/>
        <w:rPr>
          <w:rFonts w:ascii="Candara" w:hAnsi="Candara"/>
        </w:rPr>
      </w:pPr>
      <w:r w:rsidRPr="005D10C1">
        <w:rPr>
          <w:rFonts w:ascii="Candara" w:hAnsi="Candara"/>
        </w:rPr>
        <w:t>Desde mediados de los 90’s en Colombia se ha venido aplicando el término</w:t>
      </w:r>
      <w:r w:rsidR="00230A57" w:rsidRPr="005D10C1">
        <w:rPr>
          <w:rFonts w:ascii="Candara" w:hAnsi="Candara"/>
        </w:rPr>
        <w:t xml:space="preserve"> </w:t>
      </w:r>
      <w:r w:rsidR="00EF295F" w:rsidRPr="005D10C1">
        <w:rPr>
          <w:rFonts w:ascii="Candara" w:hAnsi="Candara"/>
        </w:rPr>
        <w:t>"</w:t>
      </w:r>
      <w:r w:rsidRPr="005D10C1">
        <w:rPr>
          <w:rFonts w:ascii="Candara" w:hAnsi="Candara"/>
          <w:b/>
        </w:rPr>
        <w:t>Sistema Nacional de Innovación</w:t>
      </w:r>
      <w:r w:rsidR="00EF295F" w:rsidRPr="005D10C1">
        <w:rPr>
          <w:rFonts w:ascii="Candara" w:hAnsi="Candara"/>
          <w:b/>
        </w:rPr>
        <w:t>"</w:t>
      </w:r>
      <w:r w:rsidRPr="005D10C1">
        <w:rPr>
          <w:rFonts w:ascii="Candara" w:hAnsi="Candara"/>
        </w:rPr>
        <w:t xml:space="preserve"> como una categoría conceptual que soporta el diseño de políticas nacionales en materia de innovación tecnológica. Esta situación se remonta a 1994, cuan</w:t>
      </w:r>
      <w:r w:rsidR="009D3E47" w:rsidRPr="005D10C1">
        <w:rPr>
          <w:rFonts w:ascii="Candara" w:hAnsi="Candara"/>
        </w:rPr>
        <w:t xml:space="preserve">do se reestructuró el </w:t>
      </w:r>
      <w:r w:rsidRPr="005D10C1">
        <w:rPr>
          <w:rFonts w:ascii="Candara" w:hAnsi="Candara"/>
        </w:rPr>
        <w:t>Instituto Colombiano para el Desarrollo de la Ciencia y la Tecnología</w:t>
      </w:r>
      <w:r w:rsidR="009D3E47" w:rsidRPr="005D10C1">
        <w:rPr>
          <w:rFonts w:ascii="Candara" w:hAnsi="Candara"/>
        </w:rPr>
        <w:t>- COLCIENCIAS</w:t>
      </w:r>
      <w:r w:rsidRPr="005D10C1">
        <w:rPr>
          <w:rFonts w:ascii="Candara" w:hAnsi="Candara"/>
        </w:rPr>
        <w:t xml:space="preserve"> y se creó una nu</w:t>
      </w:r>
      <w:r w:rsidR="00EF295F" w:rsidRPr="005D10C1">
        <w:rPr>
          <w:rFonts w:ascii="Candara" w:hAnsi="Candara"/>
        </w:rPr>
        <w:t>eva subdirección denominada de "</w:t>
      </w:r>
      <w:r w:rsidRPr="005D10C1">
        <w:rPr>
          <w:rFonts w:ascii="Candara" w:hAnsi="Candara"/>
        </w:rPr>
        <w:t>Innov</w:t>
      </w:r>
      <w:r w:rsidR="00EF295F" w:rsidRPr="005D10C1">
        <w:rPr>
          <w:rFonts w:ascii="Candara" w:hAnsi="Candara"/>
        </w:rPr>
        <w:t>ación y Desarrollo Empresarial"</w:t>
      </w:r>
      <w:r w:rsidRPr="005D10C1">
        <w:rPr>
          <w:rFonts w:ascii="Candara" w:hAnsi="Candara"/>
        </w:rPr>
        <w:t xml:space="preserve"> que impulsó una propuesta aprobada en 1995 por el Consejo Nacional de Ciencia</w:t>
      </w:r>
      <w:r w:rsidR="00EF295F" w:rsidRPr="005D10C1">
        <w:rPr>
          <w:rFonts w:ascii="Candara" w:hAnsi="Candara"/>
        </w:rPr>
        <w:t xml:space="preserve"> y Tecnología con el título de "</w:t>
      </w:r>
      <w:r w:rsidRPr="005D10C1">
        <w:rPr>
          <w:rFonts w:ascii="Candara" w:hAnsi="Candara"/>
        </w:rPr>
        <w:t>Política Nac</w:t>
      </w:r>
      <w:r w:rsidR="00EF295F" w:rsidRPr="005D10C1">
        <w:rPr>
          <w:rFonts w:ascii="Candara" w:hAnsi="Candara"/>
        </w:rPr>
        <w:t>ional de Innovación Tecnológica"</w:t>
      </w:r>
      <w:r w:rsidRPr="005D10C1">
        <w:rPr>
          <w:rFonts w:ascii="Candara" w:hAnsi="Candara"/>
        </w:rPr>
        <w:t>, cuyo concepto orientador es el de Sistema Nacional de I</w:t>
      </w:r>
      <w:r w:rsidR="00016D58" w:rsidRPr="005D10C1">
        <w:rPr>
          <w:rFonts w:ascii="Candara" w:hAnsi="Candara"/>
        </w:rPr>
        <w:t>nnovación</w:t>
      </w:r>
      <w:r w:rsidRPr="005D10C1">
        <w:rPr>
          <w:rFonts w:ascii="Candara" w:hAnsi="Candara"/>
        </w:rPr>
        <w:t xml:space="preserve">. Esta orientación de la política ha sido ratificada </w:t>
      </w:r>
      <w:r w:rsidR="0039220C" w:rsidRPr="005D10C1">
        <w:rPr>
          <w:rFonts w:ascii="Candara" w:hAnsi="Candara"/>
        </w:rPr>
        <w:t>en varios documentos</w:t>
      </w:r>
      <w:r w:rsidRPr="005D10C1">
        <w:rPr>
          <w:rFonts w:ascii="Candara" w:hAnsi="Candara"/>
        </w:rPr>
        <w:t xml:space="preserve">, en sus aspectos fundamentales, hasta el punto en que </w:t>
      </w:r>
      <w:r w:rsidR="0039220C" w:rsidRPr="005D10C1">
        <w:rPr>
          <w:rFonts w:ascii="Candara" w:hAnsi="Candara"/>
        </w:rPr>
        <w:t xml:space="preserve">es posible </w:t>
      </w:r>
      <w:r w:rsidRPr="005D10C1">
        <w:rPr>
          <w:rFonts w:ascii="Candara" w:hAnsi="Candara"/>
        </w:rPr>
        <w:t>afirmar que la innovación tecnológica es actualmente una dimensión consolidada de la política científica y tecnológica nacional</w:t>
      </w:r>
      <w:r w:rsidR="00616C05" w:rsidRPr="005D10C1">
        <w:rPr>
          <w:rFonts w:ascii="Candara" w:hAnsi="Candara"/>
        </w:rPr>
        <w:t xml:space="preserve"> </w:t>
      </w:r>
      <w:r w:rsidR="003B0D24" w:rsidRPr="005D10C1">
        <w:rPr>
          <w:rFonts w:ascii="Candara" w:hAnsi="Candara"/>
        </w:rPr>
        <w:fldChar w:fldCharType="begin" w:fldLock="1"/>
      </w:r>
      <w:r w:rsidR="00CA1A09" w:rsidRPr="005D10C1">
        <w:rPr>
          <w:rFonts w:ascii="Candara" w:hAnsi="Candara"/>
        </w:rPr>
        <w:instrText>ADDIN CSL_CITATION { "citationItems" : [ { "id" : "ITEM-1", "itemData" : { "author" : [ { "dropping-particle" : "", "family" : "Robledo", "given" : "Jorge", "non-dropping-particle" : "", "parse-names" : false, "suffix" : "" } ], "id" : "ITEM-1", "issued" : { "date-parts" : [ [ "2013" ] ] }, "page" : "219", "title" : "Introducci\u00f3n a la Gesti\u00f3n de la Tecnolog\u00eda y la Innovaci\u00f3n", "type" : "book" }, "uris" : [ "http://www.mendeley.com/documents/?uuid=0c2a14c0-31e6-4e12-bed4-a56cf676daad" ] } ], "mendeley" : { "previouslyFormattedCitation" : "(Robledo, 2013)" }, "properties" : { "noteIndex" : 0 }, "schema" : "https://github.com/citation-style-language/schema/raw/master/csl-citation.json" }</w:instrText>
      </w:r>
      <w:r w:rsidR="003B0D24" w:rsidRPr="005D10C1">
        <w:rPr>
          <w:rFonts w:ascii="Candara" w:hAnsi="Candara"/>
        </w:rPr>
        <w:fldChar w:fldCharType="separate"/>
      </w:r>
      <w:r w:rsidR="00016D58" w:rsidRPr="005D10C1">
        <w:rPr>
          <w:rFonts w:ascii="Candara" w:hAnsi="Candara"/>
          <w:noProof/>
        </w:rPr>
        <w:t>(Robledo, 2013)</w:t>
      </w:r>
      <w:r w:rsidR="003B0D24" w:rsidRPr="005D10C1">
        <w:rPr>
          <w:rFonts w:ascii="Candara" w:hAnsi="Candara"/>
        </w:rPr>
        <w:fldChar w:fldCharType="end"/>
      </w:r>
      <w:r w:rsidRPr="005D10C1">
        <w:rPr>
          <w:rFonts w:ascii="Candara" w:hAnsi="Candara"/>
        </w:rPr>
        <w:t>.</w:t>
      </w:r>
    </w:p>
    <w:p w14:paraId="42E12BE1" w14:textId="77777777" w:rsidR="006502BD" w:rsidRPr="005D10C1" w:rsidRDefault="006502BD" w:rsidP="0039220C">
      <w:pPr>
        <w:spacing w:line="360" w:lineRule="auto"/>
        <w:rPr>
          <w:rFonts w:ascii="Candara" w:hAnsi="Candara"/>
        </w:rPr>
      </w:pPr>
    </w:p>
    <w:p w14:paraId="535D1FDE" w14:textId="77777777" w:rsidR="00016D58" w:rsidRPr="005D10C1" w:rsidRDefault="00107C61" w:rsidP="0039220C">
      <w:pPr>
        <w:spacing w:line="360" w:lineRule="auto"/>
        <w:rPr>
          <w:rFonts w:ascii="Candara" w:hAnsi="Candara"/>
        </w:rPr>
      </w:pPr>
      <w:r w:rsidRPr="005D10C1">
        <w:rPr>
          <w:rFonts w:ascii="Candara" w:hAnsi="Candara"/>
        </w:rPr>
        <w:t xml:space="preserve">Actualmente, </w:t>
      </w:r>
      <w:r w:rsidR="0039220C" w:rsidRPr="005D10C1">
        <w:rPr>
          <w:rFonts w:ascii="Candara" w:hAnsi="Candara"/>
        </w:rPr>
        <w:t xml:space="preserve">Colciencias </w:t>
      </w:r>
      <w:r w:rsidR="006502BD" w:rsidRPr="005D10C1">
        <w:rPr>
          <w:rFonts w:ascii="Candara" w:hAnsi="Candara"/>
        </w:rPr>
        <w:t>(</w:t>
      </w:r>
      <w:r w:rsidRPr="005D10C1">
        <w:rPr>
          <w:rFonts w:ascii="Candara" w:hAnsi="Candara"/>
        </w:rPr>
        <w:t xml:space="preserve">convertido en </w:t>
      </w:r>
      <w:r w:rsidR="00054E9A" w:rsidRPr="005D10C1">
        <w:rPr>
          <w:rFonts w:ascii="Candara" w:hAnsi="Candara"/>
        </w:rPr>
        <w:t xml:space="preserve">el </w:t>
      </w:r>
      <w:r w:rsidR="0039220C" w:rsidRPr="005D10C1">
        <w:rPr>
          <w:rFonts w:ascii="Candara" w:hAnsi="Candara"/>
        </w:rPr>
        <w:t>Departamento Administrativo de C</w:t>
      </w:r>
      <w:r w:rsidR="006502BD" w:rsidRPr="005D10C1">
        <w:rPr>
          <w:rFonts w:ascii="Candara" w:hAnsi="Candara"/>
        </w:rPr>
        <w:t>iencia, Tecnología e Innovación) p</w:t>
      </w:r>
      <w:r w:rsidR="0039220C" w:rsidRPr="005D10C1">
        <w:rPr>
          <w:rFonts w:ascii="Candara" w:hAnsi="Candara"/>
        </w:rPr>
        <w:t>romueve las políticas públicas para fomentar la CT+I en Colombia. Las actividades alrededor del cumplimiento de su misión implican concertar políticas de fomento a la producción de conocimientos, construir capacidades para CT+I, y</w:t>
      </w:r>
      <w:r w:rsidRPr="005D10C1">
        <w:rPr>
          <w:rFonts w:ascii="Candara" w:hAnsi="Candara"/>
        </w:rPr>
        <w:t xml:space="preserve"> propiciar la circulación y uso</w:t>
      </w:r>
      <w:r w:rsidR="0039220C" w:rsidRPr="005D10C1">
        <w:rPr>
          <w:rFonts w:ascii="Candara" w:hAnsi="Candara"/>
        </w:rPr>
        <w:t xml:space="preserve"> de los mismos para el desarrollo integral del país y el bienestar de los colombianos.</w:t>
      </w:r>
      <w:r w:rsidR="002D45AE" w:rsidRPr="005D10C1">
        <w:rPr>
          <w:rFonts w:ascii="Candara" w:hAnsi="Candara"/>
        </w:rPr>
        <w:t xml:space="preserve"> </w:t>
      </w:r>
      <w:r w:rsidR="006C2483" w:rsidRPr="005D10C1">
        <w:rPr>
          <w:rFonts w:ascii="Candara" w:hAnsi="Candara"/>
        </w:rPr>
        <w:t>Dicha</w:t>
      </w:r>
      <w:r w:rsidR="006502BD" w:rsidRPr="005D10C1">
        <w:rPr>
          <w:rFonts w:ascii="Candara" w:hAnsi="Candara"/>
        </w:rPr>
        <w:t xml:space="preserve"> institución tiene como </w:t>
      </w:r>
      <w:r w:rsidR="0039220C" w:rsidRPr="005D10C1">
        <w:rPr>
          <w:rFonts w:ascii="Candara" w:hAnsi="Candara"/>
        </w:rPr>
        <w:t xml:space="preserve">reto </w:t>
      </w:r>
      <w:r w:rsidR="006502BD" w:rsidRPr="005D10C1">
        <w:rPr>
          <w:rFonts w:ascii="Candara" w:hAnsi="Candara"/>
        </w:rPr>
        <w:t>la coordinación d</w:t>
      </w:r>
      <w:r w:rsidR="0039220C" w:rsidRPr="005D10C1">
        <w:rPr>
          <w:rFonts w:ascii="Candara" w:hAnsi="Candara"/>
        </w:rPr>
        <w:t xml:space="preserve">el Sistema Nacional de Ciencia, Tecnología e Innovación-SNCTI, </w:t>
      </w:r>
      <w:r w:rsidR="00034B4E" w:rsidRPr="005D10C1">
        <w:rPr>
          <w:rFonts w:ascii="Candara" w:hAnsi="Candara"/>
        </w:rPr>
        <w:t>mediante la creación de</w:t>
      </w:r>
      <w:r w:rsidR="0039220C" w:rsidRPr="005D10C1">
        <w:rPr>
          <w:rFonts w:ascii="Candara" w:hAnsi="Candara"/>
        </w:rPr>
        <w:t xml:space="preserve"> sinergias e interacciones para que Colombia cuente con una cultura científica, </w:t>
      </w:r>
      <w:r w:rsidR="0039220C" w:rsidRPr="005D10C1">
        <w:rPr>
          <w:rFonts w:ascii="Candara" w:hAnsi="Candara"/>
        </w:rPr>
        <w:lastRenderedPageBreak/>
        <w:t>tecnológica e innovadora; que sus regiones y la población, el sector productivo, profesionales, y no profesionales, estudiantes y docentes de básica, media, pregrado y posgrado, hagan presencia en las estrategias y agendas de investigación y desarrollo.</w:t>
      </w:r>
      <w:r w:rsidR="00054E9A" w:rsidRPr="005D10C1">
        <w:rPr>
          <w:rFonts w:ascii="Candara" w:hAnsi="Candara"/>
        </w:rPr>
        <w:t xml:space="preserve">  Así mismo</w:t>
      </w:r>
      <w:r w:rsidR="00034B4E" w:rsidRPr="005D10C1">
        <w:rPr>
          <w:rFonts w:ascii="Candara" w:hAnsi="Candara"/>
        </w:rPr>
        <w:t xml:space="preserve"> define </w:t>
      </w:r>
      <w:r w:rsidR="0039220C" w:rsidRPr="005D10C1">
        <w:rPr>
          <w:rFonts w:ascii="Candara" w:hAnsi="Candara"/>
        </w:rPr>
        <w:t>los programas estratégicos para el desarrollo del país, la complementariedad de esfuerzos, el aprovechamiento de la cooperación internacional y la visibilización, uso y apropiación de los conocimientos producidos por nuestras comunidades de investigadores e innovadores</w:t>
      </w:r>
      <w:r w:rsidR="00AD0F72" w:rsidRPr="005D10C1">
        <w:rPr>
          <w:rFonts w:ascii="Candara" w:hAnsi="Candara"/>
        </w:rPr>
        <w:t xml:space="preserve"> </w:t>
      </w:r>
      <w:r w:rsidR="003B0D24" w:rsidRPr="005D10C1">
        <w:rPr>
          <w:rFonts w:ascii="Candara" w:hAnsi="Candara"/>
        </w:rPr>
        <w:fldChar w:fldCharType="begin" w:fldLock="1"/>
      </w:r>
      <w:r w:rsidR="00CA1A09" w:rsidRPr="005D10C1">
        <w:rPr>
          <w:rFonts w:ascii="Candara" w:hAnsi="Candara"/>
        </w:rPr>
        <w:instrText>ADDIN CSL_CITATION { "citationItems" : [ { "id" : "ITEM-1", "itemData" : { "URL" : "http://www.colciencias.gov.co/", "accessed" : { "date-parts" : [ [ "2013", "7", "4" ] ] }, "id" : "ITEM-1", "issued" : { "date-parts" : [ [ "2012" ] ] }, "title" : "Departamento Administrativo de Ciencia, Tecnolog\u00eda e Innovaci\u00f3n | Colciencias", "type" : "webpage" }, "uris" : [ "http://www.mendeley.com/documents/?uuid=b336776c-e0fb-4fc5-840f-b714d96b5e0b" ] } ], "mendeley" : { "previouslyFormattedCitation" : "(\u201cDepartamento Administrativo de Ciencia, Tecnolog\u00eda e Innovaci\u00f3n | Colciencias,\u201d 2012)" }, "properties" : { "noteIndex" : 0 }, "schema" : "https://github.com/citation-style-language/schema/raw/master/csl-citation.json" }</w:instrText>
      </w:r>
      <w:r w:rsidR="003B0D24" w:rsidRPr="005D10C1">
        <w:rPr>
          <w:rFonts w:ascii="Candara" w:hAnsi="Candara"/>
        </w:rPr>
        <w:fldChar w:fldCharType="separate"/>
      </w:r>
      <w:r w:rsidR="00280874" w:rsidRPr="005D10C1">
        <w:rPr>
          <w:rFonts w:ascii="Candara" w:hAnsi="Candara"/>
          <w:noProof/>
        </w:rPr>
        <w:t>(“Departamento Administrativo de Ciencia, Tecnología e Innovación | Colciencias,” 2012)</w:t>
      </w:r>
      <w:r w:rsidR="003B0D24" w:rsidRPr="005D10C1">
        <w:rPr>
          <w:rFonts w:ascii="Candara" w:hAnsi="Candara"/>
        </w:rPr>
        <w:fldChar w:fldCharType="end"/>
      </w:r>
      <w:r w:rsidR="0039220C" w:rsidRPr="005D10C1">
        <w:rPr>
          <w:rFonts w:ascii="Candara" w:hAnsi="Candara"/>
        </w:rPr>
        <w:t xml:space="preserve">. </w:t>
      </w:r>
    </w:p>
    <w:p w14:paraId="369C6C47" w14:textId="77777777" w:rsidR="00B266DA" w:rsidRPr="005D10C1" w:rsidRDefault="00B266DA" w:rsidP="00B266DA">
      <w:pPr>
        <w:spacing w:line="360" w:lineRule="auto"/>
        <w:rPr>
          <w:rFonts w:ascii="Candara" w:hAnsi="Candara"/>
        </w:rPr>
      </w:pPr>
    </w:p>
    <w:p w14:paraId="29F2B776" w14:textId="77777777" w:rsidR="00E6675B" w:rsidRPr="005D10C1" w:rsidRDefault="000537D7" w:rsidP="00534CC6">
      <w:pPr>
        <w:spacing w:line="360" w:lineRule="auto"/>
        <w:rPr>
          <w:rFonts w:ascii="Candara" w:hAnsi="Candara"/>
        </w:rPr>
      </w:pPr>
      <w:r w:rsidRPr="005D10C1">
        <w:rPr>
          <w:rFonts w:ascii="Candara" w:hAnsi="Candara"/>
        </w:rPr>
        <w:t>La Ley de Ciencia y Tecnología de 1990 establece las responsabilidades del Estado para la promoción de la Ciencia y</w:t>
      </w:r>
      <w:r w:rsidR="00AD0F72" w:rsidRPr="005D10C1">
        <w:rPr>
          <w:rFonts w:ascii="Candara" w:hAnsi="Candara"/>
        </w:rPr>
        <w:t xml:space="preserve"> </w:t>
      </w:r>
      <w:r w:rsidRPr="005D10C1">
        <w:rPr>
          <w:rFonts w:ascii="Candara" w:hAnsi="Candara"/>
        </w:rPr>
        <w:t>Tecnología y otorga facultades extraordinarias al gobierno para legislar por el término de un año en ciertos asuntos de ciencia y tecnología que competen al Estado</w:t>
      </w:r>
      <w:r w:rsidR="003B0D24" w:rsidRPr="005D10C1">
        <w:rPr>
          <w:rFonts w:ascii="Candara" w:hAnsi="Candara"/>
        </w:rPr>
        <w:fldChar w:fldCharType="begin" w:fldLock="1"/>
      </w:r>
      <w:r w:rsidR="00CA1A09" w:rsidRPr="005D10C1">
        <w:rPr>
          <w:rFonts w:ascii="Candara" w:hAnsi="Candara"/>
        </w:rPr>
        <w:instrText>ADDIN CSL_CITATION { "citationItems" : [ { "id" : "ITEM-1", "itemData" : { "author" : [ { "dropping-particle" : "", "family" : "Congreso de Colombia", "given" : "", "non-dropping-particle" : "", "parse-names" : false, "suffix" : "" } ], "id" : "ITEM-1", "issue" : "febrero 27", "issued" : { "date-parts" : [ [ "1990" ] ] }, "page" : "7-9", "title" : "Ley 29 de 1990", "type" : "article", "volume" : "1990" }, "uris" : [ "http://www.mendeley.com/documents/?uuid=b4157080-4e4e-4604-b4da-2d0898d0bf45" ] } ], "mendeley" : { "previouslyFormattedCitation" : "(Congreso de Colombia, 1990)" }, "properties" : { "noteIndex" : 0 }, "schema" : "https://github.com/citation-style-language/schema/raw/master/csl-citation.json" }</w:instrText>
      </w:r>
      <w:r w:rsidR="003B0D24" w:rsidRPr="005D10C1">
        <w:rPr>
          <w:rFonts w:ascii="Candara" w:hAnsi="Candara"/>
        </w:rPr>
        <w:fldChar w:fldCharType="separate"/>
      </w:r>
      <w:r w:rsidR="00084B70" w:rsidRPr="005D10C1">
        <w:rPr>
          <w:rFonts w:ascii="Candara" w:hAnsi="Candara"/>
          <w:noProof/>
        </w:rPr>
        <w:t>(Congreso de Colombia, 1990)</w:t>
      </w:r>
      <w:r w:rsidR="003B0D24" w:rsidRPr="005D10C1">
        <w:rPr>
          <w:rFonts w:ascii="Candara" w:hAnsi="Candara"/>
        </w:rPr>
        <w:fldChar w:fldCharType="end"/>
      </w:r>
      <w:r w:rsidRPr="005D10C1">
        <w:rPr>
          <w:rFonts w:ascii="Candara" w:hAnsi="Candara"/>
        </w:rPr>
        <w:t>.</w:t>
      </w:r>
      <w:r w:rsidR="00575B15" w:rsidRPr="005D10C1">
        <w:rPr>
          <w:rFonts w:ascii="Candara" w:hAnsi="Candara"/>
        </w:rPr>
        <w:t xml:space="preserve"> Consecuente con esta ley mediante e</w:t>
      </w:r>
      <w:r w:rsidR="00B266DA" w:rsidRPr="005D10C1">
        <w:rPr>
          <w:rFonts w:ascii="Candara" w:hAnsi="Candara"/>
        </w:rPr>
        <w:t xml:space="preserve">l Decreto 585 de 1991 </w:t>
      </w:r>
      <w:r w:rsidR="00084B70" w:rsidRPr="005D10C1">
        <w:rPr>
          <w:rFonts w:ascii="Candara" w:hAnsi="Candara"/>
        </w:rPr>
        <w:t xml:space="preserve">se </w:t>
      </w:r>
      <w:r w:rsidR="003E2599" w:rsidRPr="005D10C1">
        <w:rPr>
          <w:rFonts w:ascii="Candara" w:hAnsi="Candara"/>
        </w:rPr>
        <w:t xml:space="preserve">concibe </w:t>
      </w:r>
      <w:r w:rsidR="00B266DA" w:rsidRPr="005D10C1">
        <w:rPr>
          <w:rFonts w:ascii="Candara" w:hAnsi="Candara"/>
        </w:rPr>
        <w:t>el Sistema Nacional de Ciencia</w:t>
      </w:r>
      <w:r w:rsidR="00AD0F72" w:rsidRPr="005D10C1">
        <w:rPr>
          <w:rFonts w:ascii="Candara" w:hAnsi="Candara"/>
        </w:rPr>
        <w:t xml:space="preserve"> </w:t>
      </w:r>
      <w:r w:rsidR="003E2599" w:rsidRPr="005D10C1">
        <w:rPr>
          <w:rFonts w:ascii="Candara" w:hAnsi="Candara"/>
        </w:rPr>
        <w:t xml:space="preserve">y </w:t>
      </w:r>
      <w:r w:rsidR="00B266DA" w:rsidRPr="005D10C1">
        <w:rPr>
          <w:rFonts w:ascii="Candara" w:hAnsi="Candara"/>
        </w:rPr>
        <w:t>Tecnología</w:t>
      </w:r>
      <w:r w:rsidR="004405BE" w:rsidRPr="005D10C1">
        <w:rPr>
          <w:rFonts w:ascii="Candara" w:hAnsi="Candara"/>
        </w:rPr>
        <w:t xml:space="preserve">; además lo considera como </w:t>
      </w:r>
      <w:r w:rsidR="00534CC6" w:rsidRPr="005D10C1">
        <w:rPr>
          <w:rFonts w:ascii="Candara" w:hAnsi="Candara"/>
        </w:rPr>
        <w:t>un sistema abierto, no excluyente, del cual forman parte todos los programas, estrategias y actividades de ciencia y tecnología, independientemente de la institución pública o privada o de la persona que los desarrolle</w:t>
      </w:r>
      <w:r w:rsidR="003B0D24" w:rsidRPr="005D10C1">
        <w:rPr>
          <w:rFonts w:ascii="Candara" w:hAnsi="Candara"/>
        </w:rPr>
        <w:fldChar w:fldCharType="begin" w:fldLock="1"/>
      </w:r>
      <w:r w:rsidR="00CA1A09" w:rsidRPr="005D10C1">
        <w:rPr>
          <w:rFonts w:ascii="Candara" w:hAnsi="Candara"/>
        </w:rPr>
        <w:instrText>ADDIN CSL_CITATION { "citationItems" : [ { "id" : "ITEM-1", "itemData" : { "id" : "ITEM-1", "issue" : "febrero 26", "issued" : { "date-parts" : [ [ "1991" ] ] }, "page" : "1-18", "title" : "Decreto 585 de 1991", "type" : "article", "volume" : "1991" }, "uris" : [ "http://www.mendeley.com/documents/?uuid=d4daa1e6-fd66-4d2c-b023-1331ba248b2d" ] } ], "mendeley" : { "previouslyFormattedCitation" : "(\u201cDecreto 585 de 1991,\u201d 1991)" }, "properties" : { "noteIndex" : 0 }, "schema" : "https://github.com/citation-style-language/schema/raw/master/csl-citation.json" }</w:instrText>
      </w:r>
      <w:r w:rsidR="003B0D24" w:rsidRPr="005D10C1">
        <w:rPr>
          <w:rFonts w:ascii="Candara" w:hAnsi="Candara"/>
        </w:rPr>
        <w:fldChar w:fldCharType="separate"/>
      </w:r>
      <w:r w:rsidR="004405BE" w:rsidRPr="005D10C1">
        <w:rPr>
          <w:rFonts w:ascii="Candara" w:hAnsi="Candara"/>
          <w:noProof/>
        </w:rPr>
        <w:t>(“Decreto 585 de 1991,” 1991)</w:t>
      </w:r>
      <w:r w:rsidR="003B0D24" w:rsidRPr="005D10C1">
        <w:rPr>
          <w:rFonts w:ascii="Candara" w:hAnsi="Candara"/>
        </w:rPr>
        <w:fldChar w:fldCharType="end"/>
      </w:r>
      <w:r w:rsidR="004405BE" w:rsidRPr="005D10C1">
        <w:rPr>
          <w:rFonts w:ascii="Candara" w:hAnsi="Candara"/>
        </w:rPr>
        <w:t>.</w:t>
      </w:r>
    </w:p>
    <w:p w14:paraId="5F74F146" w14:textId="77777777" w:rsidR="003E2599" w:rsidRPr="005D10C1" w:rsidRDefault="003E2599" w:rsidP="00B266DA">
      <w:pPr>
        <w:spacing w:line="360" w:lineRule="auto"/>
        <w:rPr>
          <w:rFonts w:ascii="Candara" w:hAnsi="Candara"/>
        </w:rPr>
      </w:pPr>
    </w:p>
    <w:p w14:paraId="2458E83E" w14:textId="77777777" w:rsidR="003E2599" w:rsidRPr="005D10C1" w:rsidRDefault="003E2599" w:rsidP="00792573">
      <w:pPr>
        <w:spacing w:line="360" w:lineRule="auto"/>
        <w:rPr>
          <w:rFonts w:ascii="Candara" w:hAnsi="Candara"/>
        </w:rPr>
      </w:pPr>
      <w:r w:rsidRPr="005D10C1">
        <w:rPr>
          <w:rFonts w:ascii="Candara" w:hAnsi="Candara"/>
        </w:rPr>
        <w:t>La ley 1286 de 2009 t</w:t>
      </w:r>
      <w:r w:rsidR="005B0891" w:rsidRPr="005D10C1">
        <w:rPr>
          <w:rFonts w:ascii="Candara" w:hAnsi="Candara"/>
        </w:rPr>
        <w:t>ransforma</w:t>
      </w:r>
      <w:r w:rsidRPr="005D10C1">
        <w:rPr>
          <w:rFonts w:ascii="Candara" w:hAnsi="Candara"/>
        </w:rPr>
        <w:t xml:space="preserve"> el Sistema Nacional de Ciencia Tecnología en el Sistema Nacional de Ciencia, Tecnología e Innovación –SNCTI</w:t>
      </w:r>
      <w:r w:rsidR="00534CC6" w:rsidRPr="005D10C1">
        <w:rPr>
          <w:rFonts w:ascii="Candara" w:hAnsi="Candara"/>
        </w:rPr>
        <w:t>. A diferencia de lo mencionado con anterioridad lo determina como un sistema del cual forman parte las políticas, estrategias, programas, metodologías y mecanismos para la gestión, promoción, financiación, protección y divulgación de la investigación científica y la innovación tecnológica, así como las organizaciones públicas, privadas o mixtas que realicen o promuevan el desarrollo de actividades científicas tecnológicas y de innovación</w:t>
      </w:r>
      <w:r w:rsidR="00931976" w:rsidRPr="005D10C1">
        <w:rPr>
          <w:rFonts w:ascii="Candara" w:hAnsi="Candara"/>
        </w:rPr>
        <w:t xml:space="preserve"> </w:t>
      </w:r>
      <w:r w:rsidR="00534CC6" w:rsidRPr="005D10C1">
        <w:rPr>
          <w:rFonts w:ascii="Candara" w:hAnsi="Candara"/>
        </w:rPr>
        <w:t>(Art. 20). A</w:t>
      </w:r>
      <w:r w:rsidRPr="005D10C1">
        <w:rPr>
          <w:rFonts w:ascii="Candara" w:hAnsi="Candara"/>
        </w:rPr>
        <w:t xml:space="preserve">demás fortalece </w:t>
      </w:r>
      <w:r w:rsidR="00792573" w:rsidRPr="005D10C1">
        <w:rPr>
          <w:rFonts w:ascii="Candara" w:hAnsi="Candara"/>
        </w:rPr>
        <w:t>la incidencia de</w:t>
      </w:r>
      <w:r w:rsidR="00534CC6" w:rsidRPr="005D10C1">
        <w:rPr>
          <w:rFonts w:ascii="Candara" w:hAnsi="Candara"/>
        </w:rPr>
        <w:t xml:space="preserve">l sistema </w:t>
      </w:r>
      <w:r w:rsidR="00792573" w:rsidRPr="005D10C1">
        <w:rPr>
          <w:rFonts w:ascii="Candara" w:hAnsi="Candara"/>
        </w:rPr>
        <w:t xml:space="preserve">en el entorno social y económico, regional e </w:t>
      </w:r>
      <w:r w:rsidR="00792573" w:rsidRPr="005D10C1">
        <w:rPr>
          <w:rFonts w:ascii="Candara" w:hAnsi="Candara"/>
        </w:rPr>
        <w:lastRenderedPageBreak/>
        <w:t>internacional, para desarrollar los sectores productivo, económico, social y ambiental de Colombia, a través de la formación de ciudadanos integrales, creativos, críticos, proactivos e innovadores, capaces de tomar decisiones trascendentales que promuevan el emprendimiento y la creación de empresas y que influyan constructivamente en el desarrollo económico, cultural y social</w:t>
      </w:r>
      <w:r w:rsidR="005D10C1">
        <w:rPr>
          <w:rFonts w:ascii="Candara" w:hAnsi="Candara"/>
        </w:rPr>
        <w:t xml:space="preserve"> </w:t>
      </w:r>
      <w:r w:rsidR="003B0D24" w:rsidRPr="005D10C1">
        <w:rPr>
          <w:rFonts w:ascii="Candara" w:hAnsi="Candara"/>
        </w:rPr>
        <w:fldChar w:fldCharType="begin" w:fldLock="1"/>
      </w:r>
      <w:r w:rsidR="00CA1A09" w:rsidRPr="005D10C1">
        <w:rPr>
          <w:rFonts w:ascii="Candara" w:hAnsi="Candara"/>
        </w:rPr>
        <w:instrText>ADDIN CSL_CITATION { "citationItems" : [ { "id" : "ITEM-1", "itemData" : { "author" : [ { "dropping-particle" : "", "family" : "Congreso de Colombia", "given" : "", "non-dropping-particle" : "", "parse-names" : false, "suffix" : "" } ], "id" : "ITEM-1", "issue" : "enero 23", "issued" : { "date-parts" : [ [ "2009" ] ] }, "page" : "1-19", "title" : "Ley 1286 de 2009", "type" : "article", "volume" : "2009" }, "uris" : [ "http://www.mendeley.com/documents/?uuid=af12d681-759c-498a-bf78-5529108feb9a" ] } ], "mendeley" : { "previouslyFormattedCitation" : "(Congreso de Colombia, 2009)" }, "properties" : { "noteIndex" : 0 }, "schema" : "https://github.com/citation-style-language/schema/raw/master/csl-citation.json" }</w:instrText>
      </w:r>
      <w:r w:rsidR="003B0D24" w:rsidRPr="005D10C1">
        <w:rPr>
          <w:rFonts w:ascii="Candara" w:hAnsi="Candara"/>
        </w:rPr>
        <w:fldChar w:fldCharType="separate"/>
      </w:r>
      <w:r w:rsidR="00FC6EBE" w:rsidRPr="005D10C1">
        <w:rPr>
          <w:rFonts w:ascii="Candara" w:hAnsi="Candara"/>
          <w:noProof/>
        </w:rPr>
        <w:t>(Congreso de Colombia, 2009)</w:t>
      </w:r>
      <w:r w:rsidR="003B0D24" w:rsidRPr="005D10C1">
        <w:rPr>
          <w:rFonts w:ascii="Candara" w:hAnsi="Candara"/>
        </w:rPr>
        <w:fldChar w:fldCharType="end"/>
      </w:r>
      <w:r w:rsidR="00792573" w:rsidRPr="005D10C1">
        <w:rPr>
          <w:rFonts w:ascii="Candara" w:hAnsi="Candara"/>
        </w:rPr>
        <w:t>.</w:t>
      </w:r>
    </w:p>
    <w:p w14:paraId="01D255E3" w14:textId="77777777" w:rsidR="0044215E" w:rsidRPr="005D10C1" w:rsidRDefault="0044215E" w:rsidP="00792573">
      <w:pPr>
        <w:spacing w:line="360" w:lineRule="auto"/>
        <w:rPr>
          <w:rFonts w:ascii="Candara" w:hAnsi="Candara"/>
        </w:rPr>
      </w:pPr>
    </w:p>
    <w:p w14:paraId="7D35A440" w14:textId="77777777" w:rsidR="0044215E" w:rsidRPr="005D10C1" w:rsidRDefault="0044215E" w:rsidP="00792573">
      <w:pPr>
        <w:spacing w:line="360" w:lineRule="auto"/>
        <w:rPr>
          <w:rFonts w:ascii="Candara" w:hAnsi="Candara"/>
        </w:rPr>
      </w:pPr>
      <w:r w:rsidRPr="005D10C1">
        <w:rPr>
          <w:rFonts w:ascii="Candara" w:hAnsi="Candara"/>
        </w:rPr>
        <w:t xml:space="preserve">Los objetivos del SNCTI </w:t>
      </w:r>
      <w:r w:rsidR="00616C05" w:rsidRPr="005D10C1">
        <w:rPr>
          <w:rFonts w:ascii="Candara" w:hAnsi="Candara"/>
        </w:rPr>
        <w:t xml:space="preserve">que permiten la dinamización de las </w:t>
      </w:r>
      <w:r w:rsidR="00616C05" w:rsidRPr="005D10C1">
        <w:rPr>
          <w:rFonts w:ascii="Candara" w:hAnsi="Candara"/>
          <w:i/>
        </w:rPr>
        <w:t>spin-off</w:t>
      </w:r>
      <w:r w:rsidR="00616C05" w:rsidRPr="005D10C1">
        <w:rPr>
          <w:rFonts w:ascii="Candara" w:hAnsi="Candara"/>
        </w:rPr>
        <w:t xml:space="preserve"> </w:t>
      </w:r>
      <w:r w:rsidRPr="005D10C1">
        <w:rPr>
          <w:rFonts w:ascii="Candara" w:hAnsi="Candara"/>
        </w:rPr>
        <w:t>son los siguientes:</w:t>
      </w:r>
    </w:p>
    <w:p w14:paraId="0DEB33B3" w14:textId="77777777" w:rsidR="0044215E" w:rsidRPr="005D10C1" w:rsidRDefault="0044215E" w:rsidP="001B24A9">
      <w:pPr>
        <w:pStyle w:val="Prrafodelista"/>
        <w:numPr>
          <w:ilvl w:val="0"/>
          <w:numId w:val="11"/>
        </w:numPr>
        <w:spacing w:line="360" w:lineRule="auto"/>
        <w:rPr>
          <w:rFonts w:ascii="Candara" w:hAnsi="Candara"/>
        </w:rPr>
      </w:pPr>
      <w:r w:rsidRPr="005D10C1">
        <w:rPr>
          <w:rFonts w:ascii="Candara" w:hAnsi="Candara"/>
        </w:rPr>
        <w:t>Propiciar la generación y uso del conocimiento, a través del desarrollo científico, tecnológico y la innovación.</w:t>
      </w:r>
    </w:p>
    <w:p w14:paraId="132B1B98" w14:textId="77777777" w:rsidR="0044215E" w:rsidRPr="005D10C1" w:rsidRDefault="0044215E" w:rsidP="001B24A9">
      <w:pPr>
        <w:pStyle w:val="Prrafodelista"/>
        <w:numPr>
          <w:ilvl w:val="0"/>
          <w:numId w:val="11"/>
        </w:numPr>
        <w:spacing w:line="360" w:lineRule="auto"/>
        <w:rPr>
          <w:rFonts w:ascii="Candara" w:hAnsi="Candara"/>
        </w:rPr>
      </w:pPr>
      <w:r w:rsidRPr="005D10C1">
        <w:rPr>
          <w:rFonts w:ascii="Candara" w:hAnsi="Candara"/>
        </w:rPr>
        <w:t>Fomentar y consolidar, con visión de largo plazo, los centros y grupos de investigación particulares y de las Instituciones de Educación Superior.</w:t>
      </w:r>
    </w:p>
    <w:p w14:paraId="77CE4738" w14:textId="77777777" w:rsidR="0044215E" w:rsidRPr="005D10C1" w:rsidRDefault="0044215E" w:rsidP="001B24A9">
      <w:pPr>
        <w:pStyle w:val="Prrafodelista"/>
        <w:numPr>
          <w:ilvl w:val="0"/>
          <w:numId w:val="11"/>
        </w:numPr>
        <w:spacing w:line="360" w:lineRule="auto"/>
        <w:rPr>
          <w:rFonts w:ascii="Candara" w:hAnsi="Candara"/>
        </w:rPr>
      </w:pPr>
      <w:r w:rsidRPr="005D10C1">
        <w:rPr>
          <w:rFonts w:ascii="Candara" w:hAnsi="Candara"/>
        </w:rPr>
        <w:t>Promover y consolidar por diversos mecanismos, la inversión pública y privada creciente y sustentable en investigación, desarrollo tecnológico, innovación y formación del capital humano, para la ciencia, la tecnología y la innovación.</w:t>
      </w:r>
    </w:p>
    <w:p w14:paraId="3F8F279B" w14:textId="77777777" w:rsidR="0044215E" w:rsidRPr="005D10C1" w:rsidRDefault="0044215E" w:rsidP="001B24A9">
      <w:pPr>
        <w:pStyle w:val="Prrafodelista"/>
        <w:numPr>
          <w:ilvl w:val="0"/>
          <w:numId w:val="11"/>
        </w:numPr>
        <w:spacing w:line="360" w:lineRule="auto"/>
        <w:rPr>
          <w:rFonts w:ascii="Candara" w:hAnsi="Candara"/>
        </w:rPr>
      </w:pPr>
      <w:r w:rsidRPr="005D10C1">
        <w:rPr>
          <w:rFonts w:ascii="Candara" w:hAnsi="Candara"/>
        </w:rPr>
        <w:t xml:space="preserve"> Fomentar la coordinación, seguimiento y evaluación entre la política y el desarrollo nacional en ciencia, tecnología e innovación con la actuación internacional del Estado y su política exterior</w:t>
      </w:r>
      <w:r w:rsidR="007E18BF" w:rsidRPr="005D10C1">
        <w:rPr>
          <w:rFonts w:ascii="Candara" w:hAnsi="Candara"/>
        </w:rPr>
        <w:t>.</w:t>
      </w:r>
    </w:p>
    <w:p w14:paraId="71EF2D50" w14:textId="77777777" w:rsidR="0044215E" w:rsidRPr="005D10C1" w:rsidRDefault="009F41FC" w:rsidP="001B24A9">
      <w:pPr>
        <w:pStyle w:val="Prrafodelista"/>
        <w:numPr>
          <w:ilvl w:val="0"/>
          <w:numId w:val="11"/>
        </w:numPr>
        <w:spacing w:line="360" w:lineRule="auto"/>
        <w:rPr>
          <w:rFonts w:ascii="Candara" w:hAnsi="Candara"/>
        </w:rPr>
      </w:pPr>
      <w:r w:rsidRPr="005D10C1">
        <w:rPr>
          <w:rFonts w:ascii="Candara" w:hAnsi="Candara"/>
        </w:rPr>
        <w:t>Promover y evaluar la alianza estratégica universidad-empresa</w:t>
      </w:r>
      <w:r w:rsidR="00616C05" w:rsidRPr="005D10C1">
        <w:rPr>
          <w:rFonts w:ascii="Candara" w:hAnsi="Candara"/>
        </w:rPr>
        <w:t xml:space="preserve"> </w:t>
      </w:r>
      <w:r w:rsidR="003B0D24" w:rsidRPr="005D10C1">
        <w:rPr>
          <w:rFonts w:ascii="Candara" w:hAnsi="Candara"/>
        </w:rPr>
        <w:fldChar w:fldCharType="begin" w:fldLock="1"/>
      </w:r>
      <w:r w:rsidR="00CA1A09" w:rsidRPr="005D10C1">
        <w:rPr>
          <w:rFonts w:ascii="Candara" w:hAnsi="Candara"/>
        </w:rPr>
        <w:instrText>ADDIN CSL_CITATION { "citationItems" : [ { "id" : "ITEM-1", "itemData" : { "author" : [ { "dropping-particle" : "", "family" : "Congreso de Colombia", "given" : "", "non-dropping-particle" : "", "parse-names" : false, "suffix" : "" } ], "id" : "ITEM-1", "issue" : "enero 23", "issued" : { "date-parts" : [ [ "2009" ] ] }, "page" : "1-19", "title" : "Ley 1286 de 2009", "type" : "article", "volume" : "2009" }, "uris" : [ "http://www.mendeley.com/documents/?uuid=af12d681-759c-498a-bf78-5529108feb9a" ] } ], "mendeley" : { "previouslyFormattedCitation" : "(Congreso de Colombia, 2009)" }, "properties" : { "noteIndex" : 0 }, "schema" : "https://github.com/citation-style-language/schema/raw/master/csl-citation.json" }</w:instrText>
      </w:r>
      <w:r w:rsidR="003B0D24" w:rsidRPr="005D10C1">
        <w:rPr>
          <w:rFonts w:ascii="Candara" w:hAnsi="Candara"/>
        </w:rPr>
        <w:fldChar w:fldCharType="separate"/>
      </w:r>
      <w:r w:rsidR="00D97409" w:rsidRPr="005D10C1">
        <w:rPr>
          <w:rFonts w:ascii="Candara" w:hAnsi="Candara"/>
          <w:noProof/>
        </w:rPr>
        <w:t>(Congreso de Colombia, 2009)</w:t>
      </w:r>
      <w:r w:rsidR="003B0D24" w:rsidRPr="005D10C1">
        <w:rPr>
          <w:rFonts w:ascii="Candara" w:hAnsi="Candara"/>
        </w:rPr>
        <w:fldChar w:fldCharType="end"/>
      </w:r>
      <w:r w:rsidR="00D97409" w:rsidRPr="005D10C1">
        <w:rPr>
          <w:rFonts w:ascii="Candara" w:hAnsi="Candara"/>
        </w:rPr>
        <w:t>.</w:t>
      </w:r>
    </w:p>
    <w:p w14:paraId="7FAA4541" w14:textId="77777777" w:rsidR="004553ED" w:rsidRPr="005D10C1" w:rsidRDefault="004553ED" w:rsidP="009F41FC">
      <w:pPr>
        <w:spacing w:line="360" w:lineRule="auto"/>
        <w:ind w:left="360"/>
        <w:rPr>
          <w:rFonts w:ascii="Candara" w:hAnsi="Candara"/>
        </w:rPr>
      </w:pPr>
    </w:p>
    <w:p w14:paraId="422FBDBB" w14:textId="77777777" w:rsidR="000056BA" w:rsidRPr="005D10C1" w:rsidRDefault="00757269" w:rsidP="0090604A">
      <w:pPr>
        <w:spacing w:line="360" w:lineRule="auto"/>
        <w:ind w:left="360"/>
        <w:rPr>
          <w:rFonts w:ascii="Candara" w:hAnsi="Candara"/>
        </w:rPr>
      </w:pPr>
      <w:r w:rsidRPr="005D10C1">
        <w:rPr>
          <w:rFonts w:ascii="Candara" w:hAnsi="Candara"/>
        </w:rPr>
        <w:t>E</w:t>
      </w:r>
      <w:r w:rsidR="00D97409" w:rsidRPr="005D10C1">
        <w:rPr>
          <w:rFonts w:ascii="Candara" w:hAnsi="Candara"/>
        </w:rPr>
        <w:t xml:space="preserve">l </w:t>
      </w:r>
      <w:r w:rsidR="000056BA" w:rsidRPr="005D10C1">
        <w:rPr>
          <w:rFonts w:ascii="Candara" w:hAnsi="Candara"/>
        </w:rPr>
        <w:t>SNCTI es un sistema abierto</w:t>
      </w:r>
      <w:r w:rsidR="00D97409" w:rsidRPr="005D10C1">
        <w:rPr>
          <w:rFonts w:ascii="Candara" w:hAnsi="Candara"/>
        </w:rPr>
        <w:t xml:space="preserve">, en </w:t>
      </w:r>
      <w:r w:rsidR="000537D7" w:rsidRPr="005D10C1">
        <w:rPr>
          <w:rFonts w:ascii="Candara" w:hAnsi="Candara"/>
        </w:rPr>
        <w:t xml:space="preserve">éste </w:t>
      </w:r>
      <w:r w:rsidR="00D97409" w:rsidRPr="005D10C1">
        <w:rPr>
          <w:rFonts w:ascii="Candara" w:hAnsi="Candara"/>
        </w:rPr>
        <w:t>participan agentes tales como organizaciones públicas, privadas o mixtas. Estas organizaciones podrán ser objeto de apoyo por parte de las entidades de fomento de la ciencia, la tecnología y la innovación. Cada entidad de fomento establecerá la naturaleza de dicho apoyo y las condiciones bajo las cuales se podrá obtener, de acuerdo con los lineamientos de política que orienten la acción del SNCTI</w:t>
      </w:r>
      <w:r w:rsidR="00274A7C" w:rsidRPr="005D10C1">
        <w:rPr>
          <w:rFonts w:ascii="Candara" w:hAnsi="Candara"/>
        </w:rPr>
        <w:t xml:space="preserve"> </w:t>
      </w:r>
      <w:r w:rsidR="003B0D24" w:rsidRPr="005D10C1">
        <w:rPr>
          <w:rFonts w:ascii="Candara" w:hAnsi="Candara"/>
        </w:rPr>
        <w:fldChar w:fldCharType="begin" w:fldLock="1"/>
      </w:r>
      <w:r w:rsidR="00CA1A09" w:rsidRPr="005D10C1">
        <w:rPr>
          <w:rFonts w:ascii="Candara" w:hAnsi="Candara"/>
        </w:rPr>
        <w:instrText>ADDIN CSL_CITATION { "citationItems" : [ { "id" : "ITEM-1", "itemData" : { "author" : [ { "dropping-particle" : "", "family" : "Congreso de Colombia", "given" : "", "non-dropping-particle" : "", "parse-names" : false, "suffix" : "" } ], "id" : "ITEM-1", "issue" : "enero 23", "issued" : { "date-parts" : [ [ "2009" ] ] }, "page" : "1-19", "title" : "Ley 1286 de 2009", "type" : "article", "volume" : "2009" }, "uris" : [ "http://www.mendeley.com/documents/?uuid=af12d681-759c-498a-bf78-5529108feb9a" ] } ], "mendeley" : { "previouslyFormattedCitation" : "(Congreso de Colombia, 2009)" }, "properties" : { "noteIndex" : 0 }, "schema" : "https://github.com/citation-style-language/schema/raw/master/csl-citation.json" }</w:instrText>
      </w:r>
      <w:r w:rsidR="003B0D24" w:rsidRPr="005D10C1">
        <w:rPr>
          <w:rFonts w:ascii="Candara" w:hAnsi="Candara"/>
        </w:rPr>
        <w:fldChar w:fldCharType="separate"/>
      </w:r>
      <w:r w:rsidR="0090604A" w:rsidRPr="005D10C1">
        <w:rPr>
          <w:rFonts w:ascii="Candara" w:hAnsi="Candara"/>
          <w:noProof/>
        </w:rPr>
        <w:t>(Congreso de Colombia, 2009)</w:t>
      </w:r>
      <w:r w:rsidR="003B0D24" w:rsidRPr="005D10C1">
        <w:rPr>
          <w:rFonts w:ascii="Candara" w:hAnsi="Candara"/>
        </w:rPr>
        <w:fldChar w:fldCharType="end"/>
      </w:r>
      <w:r w:rsidR="00D97409" w:rsidRPr="005D10C1">
        <w:rPr>
          <w:rFonts w:ascii="Candara" w:hAnsi="Candara"/>
        </w:rPr>
        <w:t>.</w:t>
      </w:r>
      <w:r w:rsidR="0090604A" w:rsidRPr="005D10C1">
        <w:rPr>
          <w:rFonts w:ascii="Candara" w:hAnsi="Candara"/>
        </w:rPr>
        <w:t xml:space="preserve"> Es posible mencionar los siguientes agentes</w:t>
      </w:r>
      <w:r w:rsidR="006C22D7" w:rsidRPr="005D10C1">
        <w:rPr>
          <w:rFonts w:ascii="Candara" w:hAnsi="Candara"/>
        </w:rPr>
        <w:t>:</w:t>
      </w:r>
      <w:r w:rsidR="0090604A" w:rsidRPr="005D10C1">
        <w:rPr>
          <w:rFonts w:ascii="Candara" w:hAnsi="Candara"/>
        </w:rPr>
        <w:t xml:space="preserve"> </w:t>
      </w:r>
      <w:r w:rsidR="00274A7C" w:rsidRPr="005D10C1">
        <w:rPr>
          <w:rFonts w:ascii="Candara" w:hAnsi="Candara"/>
        </w:rPr>
        <w:t xml:space="preserve">292 instituciones de educación superior (115 universidades, 55 </w:t>
      </w:r>
      <w:r w:rsidR="00274A7C" w:rsidRPr="005D10C1">
        <w:rPr>
          <w:rFonts w:ascii="Candara" w:hAnsi="Candara"/>
        </w:rPr>
        <w:lastRenderedPageBreak/>
        <w:t xml:space="preserve">instituciones tecnológicas y 42 instituciones de técnica profesional) </w:t>
      </w:r>
      <w:r w:rsidR="003B0D24" w:rsidRPr="005D10C1">
        <w:rPr>
          <w:rFonts w:ascii="Candara" w:hAnsi="Candara"/>
        </w:rPr>
        <w:fldChar w:fldCharType="begin" w:fldLock="1"/>
      </w:r>
      <w:r w:rsidR="00CA1A09" w:rsidRPr="005D10C1">
        <w:rPr>
          <w:rFonts w:ascii="Candara" w:hAnsi="Candara"/>
        </w:rPr>
        <w:instrText>ADDIN CSL_CITATION { "citationItems" : [ { "id" : "ITEM-1", "itemData" : { "URL" : "http://menweb.mineducacion.gov.co/seguimiento/estadisticas/principal.php?seccion=13&amp;id_categoria=1&amp;consulta=ies_caracter&amp;nivel=13&amp;dpto=&amp;et=&amp;mun=&amp;ins=&amp;sede=", "author" : [ { "dropping-particle" : "", "family" : "Ministerio de Educaci\u00f3n", "given" : "", "non-dropping-particle" : "", "parse-names" : false, "suffix" : "" } ], "id" : "ITEM-1", "issued" : { "date-parts" : [ [ "2010" ] ] }, "title" : "Estadisticas del sector educativo", "type" : "webpage" }, "uris" : [ "http://www.mendeley.com/documents/?uuid=8830b8d5-c899-41a6-9d7c-b0967dac3564" ] } ], "mendeley" : { "previouslyFormattedCitation" : "(Ministerio de Educaci\u00f3n, 2010)" }, "properties" : { "noteIndex" : 0 }, "schema" : "https://github.com/citation-style-language/schema/raw/master/csl-citation.json" }</w:instrText>
      </w:r>
      <w:r w:rsidR="003B0D24" w:rsidRPr="005D10C1">
        <w:rPr>
          <w:rFonts w:ascii="Candara" w:hAnsi="Candara"/>
        </w:rPr>
        <w:fldChar w:fldCharType="separate"/>
      </w:r>
      <w:r w:rsidR="00274A7C" w:rsidRPr="005D10C1">
        <w:rPr>
          <w:rFonts w:ascii="Candara" w:hAnsi="Candara"/>
          <w:noProof/>
        </w:rPr>
        <w:t>(Ministerio de Educación, 2010)</w:t>
      </w:r>
      <w:r w:rsidR="003B0D24" w:rsidRPr="005D10C1">
        <w:rPr>
          <w:rFonts w:ascii="Candara" w:hAnsi="Candara"/>
        </w:rPr>
        <w:fldChar w:fldCharType="end"/>
      </w:r>
      <w:r w:rsidR="0090604A" w:rsidRPr="005D10C1">
        <w:rPr>
          <w:rFonts w:ascii="Candara" w:hAnsi="Candara"/>
        </w:rPr>
        <w:t xml:space="preserve">, </w:t>
      </w:r>
      <w:r w:rsidR="00274A7C" w:rsidRPr="005D10C1">
        <w:rPr>
          <w:rFonts w:ascii="Candara" w:hAnsi="Candara"/>
        </w:rPr>
        <w:t xml:space="preserve">8 </w:t>
      </w:r>
      <w:r w:rsidR="0090604A" w:rsidRPr="005D10C1">
        <w:rPr>
          <w:rFonts w:ascii="Candara" w:hAnsi="Candara"/>
        </w:rPr>
        <w:t xml:space="preserve">centros de investigación </w:t>
      </w:r>
      <w:r w:rsidR="00274A7C" w:rsidRPr="005D10C1">
        <w:rPr>
          <w:rFonts w:ascii="Candara" w:hAnsi="Candara"/>
        </w:rPr>
        <w:t xml:space="preserve">de excelencia </w:t>
      </w:r>
      <w:r w:rsidR="003B0D24" w:rsidRPr="005D10C1">
        <w:rPr>
          <w:rFonts w:ascii="Candara" w:hAnsi="Candara"/>
        </w:rPr>
        <w:fldChar w:fldCharType="begin" w:fldLock="1"/>
      </w:r>
      <w:r w:rsidR="00CA1A09" w:rsidRPr="005D10C1">
        <w:rPr>
          <w:rFonts w:ascii="Candara" w:hAnsi="Candara"/>
        </w:rPr>
        <w:instrText>ADDIN CSL_CITATION { "citationItems" : [ { "id" : "ITEM-1", "itemData" : { "URL" : "http://www.colciencias.gov.co/noticias/colciencias-mantendr-su-apoyo-los-centros-de-investigaci-n-de-excelencia", "author" : [ { "dropping-particle" : "", "family" : "Colciencias", "given" : "", "non-dropping-particle" : "", "parse-names" : false, "suffix" : "" } ], "id" : "ITEM-1", "issued" : { "date-parts" : [ [ "2013" ] ] }, "title" : "Colciencias mantendr\u00e1 su apoyo a los Centros de Investigaci\u00f3n de Excelencia", "type" : "webpage" }, "uris" : [ "http://www.mendeley.com/documents/?uuid=8d7ba730-86cd-41b6-967a-758ecfb2b46c" ] } ], "mendeley" : { "previouslyFormattedCitation" : "(Colciencias, 2013a)" }, "properties" : { "noteIndex" : 0 }, "schema" : "https://github.com/citation-style-language/schema/raw/master/csl-citation.json" }</w:instrText>
      </w:r>
      <w:r w:rsidR="003B0D24" w:rsidRPr="005D10C1">
        <w:rPr>
          <w:rFonts w:ascii="Candara" w:hAnsi="Candara"/>
        </w:rPr>
        <w:fldChar w:fldCharType="separate"/>
      </w:r>
      <w:r w:rsidR="00F25C50" w:rsidRPr="005D10C1">
        <w:rPr>
          <w:rFonts w:ascii="Candara" w:hAnsi="Candara"/>
          <w:noProof/>
        </w:rPr>
        <w:t>(Colciencias, 2013a)</w:t>
      </w:r>
      <w:r w:rsidR="003B0D24" w:rsidRPr="005D10C1">
        <w:rPr>
          <w:rFonts w:ascii="Candara" w:hAnsi="Candara"/>
        </w:rPr>
        <w:fldChar w:fldCharType="end"/>
      </w:r>
      <w:r w:rsidR="0090604A" w:rsidRPr="005D10C1">
        <w:rPr>
          <w:rFonts w:ascii="Candara" w:hAnsi="Candara"/>
        </w:rPr>
        <w:t xml:space="preserve">, </w:t>
      </w:r>
      <w:r w:rsidR="00F25C50" w:rsidRPr="005D10C1">
        <w:rPr>
          <w:rFonts w:ascii="Candara" w:hAnsi="Candara"/>
        </w:rPr>
        <w:t xml:space="preserve">5 </w:t>
      </w:r>
      <w:r w:rsidR="0090604A" w:rsidRPr="005D10C1">
        <w:rPr>
          <w:rFonts w:ascii="Candara" w:hAnsi="Candara"/>
        </w:rPr>
        <w:t xml:space="preserve">centros de desarrollo tecnológico </w:t>
      </w:r>
      <w:r w:rsidR="003B0D24" w:rsidRPr="005D10C1">
        <w:rPr>
          <w:rFonts w:ascii="Candara" w:hAnsi="Candara"/>
        </w:rPr>
        <w:fldChar w:fldCharType="begin" w:fldLock="1"/>
      </w:r>
      <w:r w:rsidR="00CA1A09" w:rsidRPr="005D10C1">
        <w:rPr>
          <w:rFonts w:ascii="Candara" w:hAnsi="Candara"/>
        </w:rPr>
        <w:instrText>ADDIN CSL_CITATION { "citationItems" : [ { "id" : "ITEM-1", "itemData" : { "URL" : "http://www.colciencias.gov.co/programa_estrategia/desarrollo-tecnol-gico-e-innovaci-n-industrial", "author" : [ { "dropping-particle" : "", "family" : "Colciencias", "given" : "", "non-dropping-particle" : "", "parse-names" : false, "suffix" : "" } ], "id" : "ITEM-1", "issued" : { "date-parts" : [ [ "2013" ] ] }, "title" : "Desarrollo Tecnol\u00f3gico e Innovaci\u00f3n Industrial", "type" : "webpage" }, "uris" : [ "http://www.mendeley.com/documents/?uuid=4a83fa3b-cf3b-4d0d-bf14-0d1844cb4d0e" ] } ], "mendeley" : { "previouslyFormattedCitation" : "(Colciencias, 2013b)" }, "properties" : { "noteIndex" : 0 }, "schema" : "https://github.com/citation-style-language/schema/raw/master/csl-citation.json" }</w:instrText>
      </w:r>
      <w:r w:rsidR="003B0D24" w:rsidRPr="005D10C1">
        <w:rPr>
          <w:rFonts w:ascii="Candara" w:hAnsi="Candara"/>
        </w:rPr>
        <w:fldChar w:fldCharType="separate"/>
      </w:r>
      <w:r w:rsidR="00F25C50" w:rsidRPr="005D10C1">
        <w:rPr>
          <w:rFonts w:ascii="Candara" w:hAnsi="Candara"/>
          <w:noProof/>
        </w:rPr>
        <w:t>(Colciencias, 2013b)</w:t>
      </w:r>
      <w:r w:rsidR="003B0D24" w:rsidRPr="005D10C1">
        <w:rPr>
          <w:rFonts w:ascii="Candara" w:hAnsi="Candara"/>
        </w:rPr>
        <w:fldChar w:fldCharType="end"/>
      </w:r>
      <w:r w:rsidR="00F25C50" w:rsidRPr="005D10C1">
        <w:rPr>
          <w:rFonts w:ascii="Candara" w:hAnsi="Candara"/>
        </w:rPr>
        <w:t xml:space="preserve"> </w:t>
      </w:r>
      <w:r w:rsidR="0090604A" w:rsidRPr="005D10C1">
        <w:rPr>
          <w:rFonts w:ascii="Candara" w:hAnsi="Candara"/>
        </w:rPr>
        <w:t>y demás entidades de naturaleza similar</w:t>
      </w:r>
      <w:r w:rsidR="00274A7C" w:rsidRPr="005D10C1">
        <w:rPr>
          <w:rFonts w:ascii="Candara" w:hAnsi="Candara"/>
        </w:rPr>
        <w:t xml:space="preserve"> </w:t>
      </w:r>
      <w:r w:rsidR="003B0D24" w:rsidRPr="005D10C1">
        <w:rPr>
          <w:rFonts w:ascii="Candara" w:hAnsi="Candara"/>
        </w:rPr>
        <w:fldChar w:fldCharType="begin" w:fldLock="1"/>
      </w:r>
      <w:r w:rsidR="00CA1A09" w:rsidRPr="005D10C1">
        <w:rPr>
          <w:rFonts w:ascii="Candara" w:hAnsi="Candara"/>
        </w:rPr>
        <w:instrText>ADDIN CSL_CITATION { "citationItems" : [ { "id" : "ITEM-1", "itemData" : { "author" : [ { "dropping-particle" : "", "family" : "Felipe", "given" : "Andr\u00e9s", "non-dropping-particle" : "", "parse-names" : false, "suffix" : "" }, { "dropping-particle" : "", "family" : "G\u00f3mez", "given" : "Oquendo", "non-dropping-particle" : "", "parse-names" : false, "suffix" : "" }, { "dropping-particle" : "", "family" : "Alberto", "given" : "Carlos", "non-dropping-particle" : "", "parse-names" : false, "suffix" : "" }, { "dropping-particle" : "", "family" : "\u00c1lvarez", "given" : "Acevedo", "non-dropping-particle" : "", "parse-names" : false, "suffix" : "" } ], "container-title" : "Revista trilog\u00eda", "id" : "ITEM-1", "issue" : "6", "issued" : { "date-parts" : [ [ "2012" ] ] }, "page" : "105-120", "title" : "El sistema de innovaci\u00f3n colombiano: fundamentos, din\u00e1micas y avatares", "type" : "article-journal" }, "uris" : [ "http://www.mendeley.com/documents/?uuid=32b56571-e786-4b70-a5da-953628986cbf" ] } ], "mendeley" : { "previouslyFormattedCitation" : "(Felipe, G\u00f3mez, Alberto, &amp; \u00c1lvarez, 2012)" }, "properties" : { "noteIndex" : 0 }, "schema" : "https://github.com/citation-style-language/schema/raw/master/csl-citation.json" }</w:instrText>
      </w:r>
      <w:r w:rsidR="003B0D24" w:rsidRPr="005D10C1">
        <w:rPr>
          <w:rFonts w:ascii="Candara" w:hAnsi="Candara"/>
        </w:rPr>
        <w:fldChar w:fldCharType="separate"/>
      </w:r>
      <w:r w:rsidR="0090604A" w:rsidRPr="005D10C1">
        <w:rPr>
          <w:rFonts w:ascii="Candara" w:hAnsi="Candara"/>
          <w:noProof/>
        </w:rPr>
        <w:t>(Felipe, Gómez, Alberto, &amp; Álvarez, 2012)</w:t>
      </w:r>
      <w:r w:rsidR="003B0D24" w:rsidRPr="005D10C1">
        <w:rPr>
          <w:rFonts w:ascii="Candara" w:hAnsi="Candara"/>
        </w:rPr>
        <w:fldChar w:fldCharType="end"/>
      </w:r>
      <w:r w:rsidR="0090604A" w:rsidRPr="005D10C1">
        <w:rPr>
          <w:rFonts w:ascii="Candara" w:hAnsi="Candara"/>
        </w:rPr>
        <w:t>.</w:t>
      </w:r>
    </w:p>
    <w:p w14:paraId="3C8E9729" w14:textId="77777777" w:rsidR="000056BA" w:rsidRPr="005D10C1" w:rsidRDefault="000056BA" w:rsidP="009F41FC">
      <w:pPr>
        <w:spacing w:line="360" w:lineRule="auto"/>
        <w:ind w:left="360"/>
        <w:rPr>
          <w:rFonts w:ascii="Candara" w:hAnsi="Candara"/>
        </w:rPr>
      </w:pPr>
    </w:p>
    <w:p w14:paraId="4549CCC5" w14:textId="77777777" w:rsidR="006C22D7" w:rsidRPr="005D10C1" w:rsidRDefault="006C22D7" w:rsidP="00E122E7">
      <w:pPr>
        <w:spacing w:line="360" w:lineRule="auto"/>
        <w:rPr>
          <w:rFonts w:ascii="Candara" w:hAnsi="Candara"/>
          <w:bCs/>
          <w:bdr w:val="none" w:sz="0" w:space="0" w:color="auto" w:frame="1"/>
        </w:rPr>
      </w:pPr>
    </w:p>
    <w:p w14:paraId="3B418958" w14:textId="77777777" w:rsidR="00E122E7" w:rsidRPr="005D10C1" w:rsidRDefault="00E122E7" w:rsidP="00E122E7">
      <w:pPr>
        <w:spacing w:line="360" w:lineRule="auto"/>
        <w:rPr>
          <w:rFonts w:ascii="Candara" w:hAnsi="Candara"/>
          <w:bCs/>
          <w:bdr w:val="none" w:sz="0" w:space="0" w:color="auto" w:frame="1"/>
        </w:rPr>
      </w:pPr>
      <w:r w:rsidRPr="005D10C1">
        <w:rPr>
          <w:rFonts w:ascii="Candara" w:hAnsi="Candara"/>
          <w:bCs/>
          <w:bdr w:val="none" w:sz="0" w:space="0" w:color="auto" w:frame="1"/>
        </w:rPr>
        <w:t xml:space="preserve">En la </w:t>
      </w:r>
      <w:r w:rsidR="00A57352">
        <w:fldChar w:fldCharType="begin"/>
      </w:r>
      <w:r w:rsidR="00A57352">
        <w:instrText xml:space="preserve"> REF _Ref370219350 \h  \* MERGEFORMAT </w:instrText>
      </w:r>
      <w:r w:rsidR="00A57352">
        <w:fldChar w:fldCharType="separate"/>
      </w:r>
      <w:r w:rsidR="005D10C1" w:rsidRPr="005D10C1">
        <w:rPr>
          <w:rFonts w:ascii="Candara" w:hAnsi="Candara"/>
        </w:rPr>
        <w:t xml:space="preserve">Ilustración </w:t>
      </w:r>
      <w:r w:rsidR="005D10C1" w:rsidRPr="005D10C1">
        <w:rPr>
          <w:rFonts w:ascii="Candara" w:hAnsi="Candara"/>
          <w:noProof/>
        </w:rPr>
        <w:t>10</w:t>
      </w:r>
      <w:r w:rsidR="00A57352">
        <w:fldChar w:fldCharType="end"/>
      </w:r>
      <w:r w:rsidR="00DD590B" w:rsidRPr="005D10C1">
        <w:rPr>
          <w:rFonts w:ascii="Candara" w:hAnsi="Candara"/>
        </w:rPr>
        <w:t xml:space="preserve"> </w:t>
      </w:r>
      <w:r w:rsidR="00311391" w:rsidRPr="005D10C1">
        <w:rPr>
          <w:rFonts w:ascii="Candara" w:hAnsi="Candara"/>
          <w:bCs/>
          <w:bdr w:val="none" w:sz="0" w:space="0" w:color="auto" w:frame="1"/>
        </w:rPr>
        <w:t>es posible identificar de manera gráfica el SNCTI, a su vez, es posible determinar los agentes que lo componen</w:t>
      </w:r>
      <w:r w:rsidR="007004F0" w:rsidRPr="005D10C1">
        <w:rPr>
          <w:rFonts w:ascii="Candara" w:hAnsi="Candara"/>
          <w:bCs/>
          <w:bdr w:val="none" w:sz="0" w:space="0" w:color="auto" w:frame="1"/>
        </w:rPr>
        <w:t xml:space="preserve"> </w:t>
      </w:r>
      <w:r w:rsidR="003B0D24" w:rsidRPr="005D10C1">
        <w:rPr>
          <w:rFonts w:ascii="Candara" w:hAnsi="Candara"/>
        </w:rPr>
        <w:fldChar w:fldCharType="begin" w:fldLock="1"/>
      </w:r>
      <w:r w:rsidR="007004F0" w:rsidRPr="005D10C1">
        <w:rPr>
          <w:rFonts w:ascii="Candara" w:hAnsi="Candara"/>
        </w:rPr>
        <w:instrText>ADDIN CSL_CITATION { "citationItems" : [ { "id" : "ITEM-1", "itemData" : { "author" : [ { "dropping-particle" : "", "family" : "Emiliozzi", "given" : "Sergio", "non-dropping-particle" : "", "parse-names" : false, "suffix" : "" }, { "dropping-particle" : "", "family" : "Lemarchand", "given" : "Guillermo", "non-dropping-particle" : "", "parse-names" : false, "suffix" : "" }, { "dropping-particle" : "", "family" : "Gordon", "given" : "Ariel", "non-dropping-particle" : "", "parse-names" : false, "suffix" : "" } ], "id" : "ITEM-1", "issued" : { "date-parts" : [ [ "2011" ] ] }, "title" : "Principales Indicadores de Insumo en Ciencia, Tecnolog\u00eda e Innovaci\u00f3n Principales Indicadores de Producto en Ciencia, Tecnolog\u00eda e Innovaci\u00f3n", "type" : "article-journal" }, "uris" : [ "http://www.mendeley.com/documents/?uuid=35daeda2-17f8-4702-b541-e12aed43bcf7", "http://www.mendeley.com/documents/?uuid=c0710e16-df87-4fac-8f0f-f71d71bb119a" ] } ], "mendeley" : { "previouslyFormattedCitation" : "(Emiliozzi, Lemarchand, &amp; Gordon, 2011)" }, "properties" : { "noteIndex" : 0 }, "schema" : "https://github.com/citation-style-language/schema/raw/master/csl-citation.json" }</w:instrText>
      </w:r>
      <w:r w:rsidR="003B0D24" w:rsidRPr="005D10C1">
        <w:rPr>
          <w:rFonts w:ascii="Candara" w:hAnsi="Candara"/>
        </w:rPr>
        <w:fldChar w:fldCharType="separate"/>
      </w:r>
      <w:r w:rsidR="007004F0" w:rsidRPr="005D10C1">
        <w:rPr>
          <w:rFonts w:ascii="Candara" w:hAnsi="Candara"/>
          <w:noProof/>
        </w:rPr>
        <w:t>(Emiliozzi, Lemarchand, &amp; Gordon, 2011)</w:t>
      </w:r>
      <w:r w:rsidR="003B0D24" w:rsidRPr="005D10C1">
        <w:rPr>
          <w:rFonts w:ascii="Candara" w:hAnsi="Candara"/>
        </w:rPr>
        <w:fldChar w:fldCharType="end"/>
      </w:r>
      <w:r w:rsidR="00311391" w:rsidRPr="005D10C1">
        <w:rPr>
          <w:rFonts w:ascii="Candara" w:hAnsi="Candara"/>
          <w:bCs/>
          <w:bdr w:val="none" w:sz="0" w:space="0" w:color="auto" w:frame="1"/>
        </w:rPr>
        <w:t>.</w:t>
      </w:r>
    </w:p>
    <w:p w14:paraId="5C3EBE66" w14:textId="77777777" w:rsidR="00DD590B" w:rsidRPr="005D10C1" w:rsidRDefault="00DD590B" w:rsidP="00E122E7">
      <w:pPr>
        <w:spacing w:line="360" w:lineRule="auto"/>
        <w:rPr>
          <w:rFonts w:ascii="Candara" w:hAnsi="Candara"/>
          <w:bCs/>
          <w:bdr w:val="none" w:sz="0" w:space="0" w:color="auto" w:frame="1"/>
        </w:rPr>
      </w:pPr>
    </w:p>
    <w:p w14:paraId="6E1B2931" w14:textId="77777777" w:rsidR="00DD590B" w:rsidRPr="005D10C1" w:rsidRDefault="007004F0" w:rsidP="002616E6">
      <w:pPr>
        <w:spacing w:line="360" w:lineRule="auto"/>
        <w:jc w:val="center"/>
        <w:rPr>
          <w:rFonts w:ascii="Candara" w:hAnsi="Candara"/>
          <w:bCs/>
          <w:bdr w:val="none" w:sz="0" w:space="0" w:color="auto" w:frame="1"/>
        </w:rPr>
      </w:pPr>
      <w:r w:rsidRPr="005D10C1">
        <w:rPr>
          <w:rFonts w:ascii="Candara" w:hAnsi="Candara"/>
          <w:bCs/>
          <w:bdr w:val="none" w:sz="0" w:space="0" w:color="auto" w:frame="1"/>
        </w:rPr>
        <w:object w:dxaOrig="14168" w:dyaOrig="8485" w14:anchorId="6B642D5C">
          <v:shape id="_x0000_i1027" type="#_x0000_t75" style="width:444.75pt;height:265.5pt" o:ole="">
            <v:imagedata r:id="rId23" o:title=""/>
          </v:shape>
          <o:OLEObject Type="Embed" ProgID="PowerPoint.Slide.12" ShapeID="_x0000_i1027" DrawAspect="Content" ObjectID="_1620469850" r:id="rId24"/>
        </w:object>
      </w:r>
    </w:p>
    <w:p w14:paraId="23082A59" w14:textId="77777777" w:rsidR="00E122E7" w:rsidRPr="005D10C1" w:rsidRDefault="00E122E7" w:rsidP="00E122E7">
      <w:pPr>
        <w:spacing w:line="360" w:lineRule="auto"/>
        <w:rPr>
          <w:rFonts w:ascii="Candara" w:hAnsi="Candara"/>
          <w:sz w:val="20"/>
          <w:szCs w:val="20"/>
        </w:rPr>
      </w:pPr>
      <w:bookmarkStart w:id="274" w:name="_Ref370219350"/>
      <w:bookmarkStart w:id="275" w:name="_Toc374621200"/>
      <w:bookmarkStart w:id="276" w:name="_Toc377652601"/>
      <w:r w:rsidRPr="005D10C1">
        <w:rPr>
          <w:rFonts w:ascii="Candara" w:hAnsi="Candara"/>
          <w:sz w:val="20"/>
          <w:szCs w:val="20"/>
        </w:rPr>
        <w:t xml:space="preserve">Ilustración </w:t>
      </w:r>
      <w:r w:rsidR="003B0D24" w:rsidRPr="005D10C1">
        <w:rPr>
          <w:rFonts w:ascii="Candara" w:hAnsi="Candara"/>
          <w:sz w:val="20"/>
          <w:szCs w:val="20"/>
        </w:rPr>
        <w:fldChar w:fldCharType="begin"/>
      </w:r>
      <w:r w:rsidRPr="005D10C1">
        <w:rPr>
          <w:rFonts w:ascii="Candara" w:hAnsi="Candara"/>
          <w:sz w:val="20"/>
          <w:szCs w:val="20"/>
        </w:rPr>
        <w:instrText xml:space="preserve"> SEQ Ilustración \* ARABIC </w:instrText>
      </w:r>
      <w:r w:rsidR="003B0D24" w:rsidRPr="005D10C1">
        <w:rPr>
          <w:rFonts w:ascii="Candara" w:hAnsi="Candara"/>
          <w:sz w:val="20"/>
          <w:szCs w:val="20"/>
        </w:rPr>
        <w:fldChar w:fldCharType="separate"/>
      </w:r>
      <w:r w:rsidR="005D10C1">
        <w:rPr>
          <w:rFonts w:ascii="Candara" w:hAnsi="Candara"/>
          <w:noProof/>
          <w:sz w:val="20"/>
          <w:szCs w:val="20"/>
        </w:rPr>
        <w:t>10</w:t>
      </w:r>
      <w:r w:rsidR="003B0D24" w:rsidRPr="005D10C1">
        <w:rPr>
          <w:rFonts w:ascii="Candara" w:hAnsi="Candara"/>
          <w:sz w:val="20"/>
          <w:szCs w:val="20"/>
        </w:rPr>
        <w:fldChar w:fldCharType="end"/>
      </w:r>
      <w:bookmarkEnd w:id="274"/>
      <w:r w:rsidRPr="005D10C1">
        <w:rPr>
          <w:rFonts w:ascii="Candara" w:hAnsi="Candara"/>
          <w:sz w:val="20"/>
          <w:szCs w:val="20"/>
        </w:rPr>
        <w:t>: Sistema colombiano de Ciencia, Tecnología e Innovación</w:t>
      </w:r>
      <w:bookmarkEnd w:id="275"/>
      <w:r w:rsidR="007004F0" w:rsidRPr="005D10C1">
        <w:rPr>
          <w:rFonts w:ascii="Candara" w:hAnsi="Candara"/>
          <w:sz w:val="20"/>
          <w:szCs w:val="20"/>
        </w:rPr>
        <w:t>.</w:t>
      </w:r>
      <w:bookmarkEnd w:id="276"/>
    </w:p>
    <w:p w14:paraId="0B4D6164" w14:textId="77777777" w:rsidR="00D24706" w:rsidRPr="005D10C1" w:rsidRDefault="00D24706" w:rsidP="00E122E7">
      <w:pPr>
        <w:spacing w:line="360" w:lineRule="auto"/>
        <w:rPr>
          <w:rFonts w:ascii="Candara" w:hAnsi="Candara"/>
          <w:sz w:val="20"/>
          <w:szCs w:val="20"/>
        </w:rPr>
      </w:pPr>
    </w:p>
    <w:p w14:paraId="329DF0A0" w14:textId="77777777" w:rsidR="0077760A" w:rsidRPr="005D10C1" w:rsidRDefault="0077760A" w:rsidP="00E122E7">
      <w:pPr>
        <w:spacing w:line="360" w:lineRule="auto"/>
        <w:rPr>
          <w:rFonts w:ascii="Candara" w:hAnsi="Candara"/>
          <w:sz w:val="20"/>
          <w:szCs w:val="20"/>
        </w:rPr>
      </w:pPr>
      <w:r w:rsidRPr="005D10C1">
        <w:rPr>
          <w:rFonts w:ascii="Candara" w:hAnsi="Candara"/>
        </w:rPr>
        <w:t xml:space="preserve">El gasto de I+D en Colombia se encuentra relacionado en la </w:t>
      </w:r>
      <w:r w:rsidR="00A57352">
        <w:fldChar w:fldCharType="begin"/>
      </w:r>
      <w:r w:rsidR="00A57352">
        <w:instrText xml:space="preserve"> REF _Ref374623294 \h  \* MERGEFORMAT </w:instrText>
      </w:r>
      <w:r w:rsidR="00A57352">
        <w:fldChar w:fldCharType="separate"/>
      </w:r>
      <w:r w:rsidR="005D10C1" w:rsidRPr="005D10C1">
        <w:rPr>
          <w:rFonts w:ascii="Candara" w:hAnsi="Candara"/>
        </w:rPr>
        <w:t>Ilustración 11</w:t>
      </w:r>
      <w:r w:rsidR="00A57352">
        <w:fldChar w:fldCharType="end"/>
      </w:r>
      <w:r w:rsidR="003B0D24" w:rsidRPr="005D10C1">
        <w:rPr>
          <w:rFonts w:ascii="Candara" w:hAnsi="Candara"/>
        </w:rPr>
        <w:fldChar w:fldCharType="begin"/>
      </w:r>
      <w:r w:rsidRPr="005D10C1">
        <w:rPr>
          <w:rFonts w:ascii="Candara" w:hAnsi="Candara"/>
        </w:rPr>
        <w:instrText xml:space="preserve"> REF _Ref372123151 \h  \* MERGEFORMAT </w:instrText>
      </w:r>
      <w:r w:rsidR="003B0D24" w:rsidRPr="005D10C1">
        <w:rPr>
          <w:rFonts w:ascii="Candara" w:hAnsi="Candara"/>
        </w:rPr>
      </w:r>
      <w:r w:rsidR="003B0D24" w:rsidRPr="005D10C1">
        <w:rPr>
          <w:rFonts w:ascii="Candara" w:hAnsi="Candara"/>
        </w:rPr>
        <w:fldChar w:fldCharType="separate"/>
      </w:r>
      <w:r w:rsidR="005D10C1">
        <w:rPr>
          <w:rFonts w:ascii="Candara" w:hAnsi="Candara"/>
          <w:b/>
          <w:bCs/>
          <w:lang w:val="es-ES"/>
        </w:rPr>
        <w:t>¡Error! No se encuentra el origen de la referencia.</w:t>
      </w:r>
      <w:r w:rsidR="003B0D24" w:rsidRPr="005D10C1">
        <w:rPr>
          <w:rFonts w:ascii="Candara" w:hAnsi="Candara"/>
        </w:rPr>
        <w:fldChar w:fldCharType="end"/>
      </w:r>
      <w:r w:rsidRPr="005D10C1">
        <w:rPr>
          <w:rFonts w:ascii="Candara" w:hAnsi="Candara"/>
        </w:rPr>
        <w:t xml:space="preserve">, éste se expresa como el porcentaje del Producto Interno Bruto que se destina para que el sistema nacional de innovación opere. En los </w:t>
      </w:r>
      <w:r w:rsidRPr="005D10C1">
        <w:rPr>
          <w:rFonts w:ascii="Candara" w:hAnsi="Candara"/>
        </w:rPr>
        <w:lastRenderedPageBreak/>
        <w:t xml:space="preserve">años mostrados en esta gráfica </w:t>
      </w:r>
      <w:r w:rsidR="001A7A86" w:rsidRPr="005D10C1">
        <w:rPr>
          <w:rFonts w:ascii="Candara" w:hAnsi="Candara"/>
        </w:rPr>
        <w:t xml:space="preserve">evidencia que el gasto de I+D </w:t>
      </w:r>
      <w:r w:rsidRPr="005D10C1">
        <w:rPr>
          <w:rFonts w:ascii="Candara" w:hAnsi="Candara"/>
        </w:rPr>
        <w:t xml:space="preserve">se </w:t>
      </w:r>
      <w:r w:rsidR="001A7A86" w:rsidRPr="005D10C1">
        <w:rPr>
          <w:rFonts w:ascii="Candara" w:hAnsi="Candara"/>
        </w:rPr>
        <w:t xml:space="preserve">encuentra entre el 0,14% y el 0,16% </w:t>
      </w:r>
      <w:r w:rsidRPr="005D10C1">
        <w:rPr>
          <w:rFonts w:ascii="Candara" w:hAnsi="Candara"/>
        </w:rPr>
        <w:t xml:space="preserve">del PIB, siendo para 2011 de </w:t>
      </w:r>
      <w:r w:rsidR="001A7A86" w:rsidRPr="005D10C1">
        <w:rPr>
          <w:rFonts w:ascii="Candara" w:hAnsi="Candara"/>
        </w:rPr>
        <w:t>0</w:t>
      </w:r>
      <w:r w:rsidRPr="005D10C1">
        <w:rPr>
          <w:rFonts w:ascii="Candara" w:hAnsi="Candara"/>
        </w:rPr>
        <w:t>,</w:t>
      </w:r>
      <w:r w:rsidR="001A7A86" w:rsidRPr="005D10C1">
        <w:rPr>
          <w:rFonts w:ascii="Candara" w:hAnsi="Candara"/>
        </w:rPr>
        <w:t>16</w:t>
      </w:r>
      <w:r w:rsidRPr="005D10C1">
        <w:rPr>
          <w:rFonts w:ascii="Candara" w:hAnsi="Candara"/>
        </w:rPr>
        <w:t>%, lo cual equivale a US$</w:t>
      </w:r>
      <w:r w:rsidR="001A7A86" w:rsidRPr="005D10C1">
        <w:rPr>
          <w:rFonts w:ascii="Candara" w:hAnsi="Candara"/>
        </w:rPr>
        <w:t>459,23</w:t>
      </w:r>
      <w:r w:rsidRPr="005D10C1">
        <w:rPr>
          <w:rFonts w:ascii="Candara" w:hAnsi="Candara"/>
        </w:rPr>
        <w:t xml:space="preserve"> millones </w:t>
      </w:r>
      <w:r w:rsidR="003B0D24" w:rsidRPr="005D10C1">
        <w:rPr>
          <w:rFonts w:ascii="Candara" w:hAnsi="Candara"/>
        </w:rPr>
        <w:fldChar w:fldCharType="begin" w:fldLock="1"/>
      </w:r>
      <w:r w:rsidR="00CA1A09" w:rsidRPr="005D10C1">
        <w:rPr>
          <w:rFonts w:ascii="Candara" w:hAnsi="Candara"/>
        </w:rPr>
        <w:instrText>ADDIN CSL_CITATION { "citationItems" : [ { "id" : "ITEM-1", "itemData" : { "URL" : "http://www.bancomundial.org/", "author" : [ { "dropping-particle" : "", "family" : "Banco Mundial", "given" : "", "non-dropping-particle" : "", "parse-names" : false, "suffix" : "" } ], "id" : "ITEM-1", "issued" : { "date-parts" : [ [ "2013" ] ] }, "title" : "Banco Mundial", "type" : "webpage" }, "uris" : [ "http://www.mendeley.com/documents/?uuid=7fb659e3-00fd-43f6-a0f0-35291f6090dc" ] } ], "mendeley" : { "previouslyFormattedCitation" : "(Banco Mundial, 2013)" }, "properties" : { "noteIndex" : 0 }, "schema" : "https://github.com/citation-style-language/schema/raw/master/csl-citation.json" }</w:instrText>
      </w:r>
      <w:r w:rsidR="003B0D24" w:rsidRPr="005D10C1">
        <w:rPr>
          <w:rFonts w:ascii="Candara" w:hAnsi="Candara"/>
        </w:rPr>
        <w:fldChar w:fldCharType="separate"/>
      </w:r>
      <w:r w:rsidR="00F25D82" w:rsidRPr="005D10C1">
        <w:rPr>
          <w:rFonts w:ascii="Candara" w:hAnsi="Candara"/>
          <w:noProof/>
        </w:rPr>
        <w:t>(Banco Mundial, 2013)</w:t>
      </w:r>
      <w:r w:rsidR="003B0D24" w:rsidRPr="005D10C1">
        <w:rPr>
          <w:rFonts w:ascii="Candara" w:hAnsi="Candara"/>
        </w:rPr>
        <w:fldChar w:fldCharType="end"/>
      </w:r>
      <w:r w:rsidRPr="005D10C1">
        <w:rPr>
          <w:rFonts w:ascii="Candara" w:hAnsi="Candara"/>
        </w:rPr>
        <w:t>.</w:t>
      </w:r>
    </w:p>
    <w:p w14:paraId="702505E9" w14:textId="77777777" w:rsidR="0077760A" w:rsidRPr="005D10C1" w:rsidRDefault="0077760A" w:rsidP="00E122E7">
      <w:pPr>
        <w:spacing w:line="360" w:lineRule="auto"/>
        <w:rPr>
          <w:rFonts w:ascii="Candara" w:hAnsi="Candara"/>
          <w:sz w:val="20"/>
          <w:szCs w:val="20"/>
        </w:rPr>
      </w:pPr>
    </w:p>
    <w:p w14:paraId="5760A90A" w14:textId="77777777" w:rsidR="0077760A" w:rsidRPr="005D10C1" w:rsidRDefault="0077760A" w:rsidP="00931976">
      <w:pPr>
        <w:spacing w:line="360" w:lineRule="auto"/>
        <w:jc w:val="center"/>
        <w:rPr>
          <w:rFonts w:ascii="Candara" w:hAnsi="Candara"/>
          <w:sz w:val="20"/>
          <w:szCs w:val="20"/>
        </w:rPr>
      </w:pPr>
      <w:r w:rsidRPr="005D10C1">
        <w:rPr>
          <w:rFonts w:ascii="Candara" w:hAnsi="Candara"/>
          <w:noProof/>
          <w:lang w:eastAsia="es-CO"/>
        </w:rPr>
        <w:drawing>
          <wp:inline distT="0" distB="0" distL="0" distR="0" wp14:anchorId="7D2D216C" wp14:editId="476827F1">
            <wp:extent cx="4572000" cy="2743200"/>
            <wp:effectExtent l="0" t="0" r="0" b="0"/>
            <wp:docPr id="5"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3241C5F7" w14:textId="77777777" w:rsidR="00D24706" w:rsidRPr="005D10C1" w:rsidRDefault="001A7A86" w:rsidP="0007205D">
      <w:pPr>
        <w:pStyle w:val="Descripcin"/>
        <w:rPr>
          <w:rFonts w:ascii="Candara" w:hAnsi="Candara"/>
          <w:b w:val="0"/>
          <w:color w:val="auto"/>
        </w:rPr>
      </w:pPr>
      <w:bookmarkStart w:id="277" w:name="_Ref374623294"/>
      <w:bookmarkStart w:id="278" w:name="_Toc377652602"/>
      <w:bookmarkStart w:id="279" w:name="_Toc374621201"/>
      <w:r w:rsidRPr="005D10C1">
        <w:rPr>
          <w:rFonts w:ascii="Candara" w:hAnsi="Candara"/>
          <w:b w:val="0"/>
          <w:color w:val="auto"/>
        </w:rPr>
        <w:t xml:space="preserve">Ilustración </w:t>
      </w:r>
      <w:r w:rsidR="003B0D24" w:rsidRPr="005D10C1">
        <w:rPr>
          <w:rFonts w:ascii="Candara" w:hAnsi="Candara"/>
          <w:b w:val="0"/>
          <w:color w:val="auto"/>
        </w:rPr>
        <w:fldChar w:fldCharType="begin"/>
      </w:r>
      <w:r w:rsidRPr="005D10C1">
        <w:rPr>
          <w:rFonts w:ascii="Candara" w:hAnsi="Candara"/>
          <w:b w:val="0"/>
          <w:color w:val="auto"/>
        </w:rPr>
        <w:instrText xml:space="preserve"> SEQ Ilustración \* ARABIC </w:instrText>
      </w:r>
      <w:r w:rsidR="003B0D24" w:rsidRPr="005D10C1">
        <w:rPr>
          <w:rFonts w:ascii="Candara" w:hAnsi="Candara"/>
          <w:b w:val="0"/>
          <w:color w:val="auto"/>
        </w:rPr>
        <w:fldChar w:fldCharType="separate"/>
      </w:r>
      <w:r w:rsidR="005D10C1">
        <w:rPr>
          <w:rFonts w:ascii="Candara" w:hAnsi="Candara"/>
          <w:b w:val="0"/>
          <w:noProof/>
          <w:color w:val="auto"/>
        </w:rPr>
        <w:t>11</w:t>
      </w:r>
      <w:r w:rsidR="003B0D24" w:rsidRPr="005D10C1">
        <w:rPr>
          <w:rFonts w:ascii="Candara" w:hAnsi="Candara"/>
          <w:b w:val="0"/>
          <w:color w:val="auto"/>
        </w:rPr>
        <w:fldChar w:fldCharType="end"/>
      </w:r>
      <w:bookmarkEnd w:id="277"/>
      <w:r w:rsidRPr="005D10C1">
        <w:rPr>
          <w:rFonts w:ascii="Candara" w:hAnsi="Candara"/>
          <w:b w:val="0"/>
          <w:color w:val="auto"/>
        </w:rPr>
        <w:t>: Gasto de I+D en Colombia.</w:t>
      </w:r>
      <w:bookmarkEnd w:id="278"/>
      <w:r w:rsidRPr="005D10C1">
        <w:rPr>
          <w:rFonts w:ascii="Candara" w:hAnsi="Candara"/>
          <w:b w:val="0"/>
          <w:color w:val="auto"/>
        </w:rPr>
        <w:t xml:space="preserve"> </w:t>
      </w:r>
      <w:bookmarkEnd w:id="279"/>
    </w:p>
    <w:p w14:paraId="20546CB3" w14:textId="77777777" w:rsidR="006E6E63" w:rsidRPr="005D10C1" w:rsidRDefault="006E6E63" w:rsidP="009F41FC">
      <w:pPr>
        <w:spacing w:line="360" w:lineRule="auto"/>
        <w:ind w:left="360"/>
        <w:rPr>
          <w:rFonts w:ascii="Candara" w:hAnsi="Candara"/>
          <w:b/>
        </w:rPr>
      </w:pPr>
    </w:p>
    <w:p w14:paraId="61DACBF1" w14:textId="77777777" w:rsidR="005E26A2" w:rsidRPr="005D10C1" w:rsidRDefault="005E26A2" w:rsidP="009F41FC">
      <w:pPr>
        <w:spacing w:line="360" w:lineRule="auto"/>
        <w:ind w:left="360"/>
        <w:rPr>
          <w:rFonts w:ascii="Candara" w:hAnsi="Candara"/>
          <w:b/>
        </w:rPr>
      </w:pPr>
      <w:r w:rsidRPr="005D10C1">
        <w:rPr>
          <w:rFonts w:ascii="Candara" w:hAnsi="Candara"/>
          <w:b/>
        </w:rPr>
        <w:t>Política Nacional de Ciencia Tecnología e Innovación CTI</w:t>
      </w:r>
    </w:p>
    <w:p w14:paraId="21CED03E" w14:textId="77777777" w:rsidR="005E26A2" w:rsidRPr="005D10C1" w:rsidRDefault="005E26A2" w:rsidP="009F41FC">
      <w:pPr>
        <w:spacing w:line="360" w:lineRule="auto"/>
        <w:ind w:left="360"/>
        <w:rPr>
          <w:rFonts w:ascii="Candara" w:hAnsi="Candara"/>
        </w:rPr>
      </w:pPr>
    </w:p>
    <w:p w14:paraId="16179F63" w14:textId="77777777" w:rsidR="005E26A2" w:rsidRPr="005D10C1" w:rsidRDefault="005E26A2" w:rsidP="009F41FC">
      <w:pPr>
        <w:spacing w:line="360" w:lineRule="auto"/>
        <w:ind w:left="360"/>
        <w:rPr>
          <w:rFonts w:ascii="Candara" w:hAnsi="Candara"/>
        </w:rPr>
      </w:pPr>
      <w:r w:rsidRPr="005D10C1">
        <w:rPr>
          <w:rFonts w:ascii="Candara" w:hAnsi="Candara"/>
        </w:rPr>
        <w:t>El Conpes 3582 contiene la política nacional de CTI la cual pretende incrementar la capacidad del país para generar y usar conocimiento científico y tecnológico.</w:t>
      </w:r>
    </w:p>
    <w:p w14:paraId="234A49AC" w14:textId="77777777" w:rsidR="004D3B6A" w:rsidRPr="005D10C1" w:rsidRDefault="004D3B6A" w:rsidP="005D1333">
      <w:pPr>
        <w:spacing w:line="360" w:lineRule="auto"/>
        <w:ind w:left="360"/>
        <w:rPr>
          <w:rFonts w:ascii="Candara" w:hAnsi="Candara"/>
        </w:rPr>
      </w:pPr>
    </w:p>
    <w:p w14:paraId="73F90181" w14:textId="77777777" w:rsidR="005D1333" w:rsidRPr="005D10C1" w:rsidRDefault="004D3B6A" w:rsidP="005D1333">
      <w:pPr>
        <w:spacing w:line="360" w:lineRule="auto"/>
        <w:ind w:left="360"/>
        <w:rPr>
          <w:rFonts w:ascii="Candara" w:hAnsi="Candara"/>
        </w:rPr>
      </w:pPr>
      <w:r w:rsidRPr="005D10C1">
        <w:rPr>
          <w:rFonts w:ascii="Candara" w:hAnsi="Candara"/>
        </w:rPr>
        <w:t>Para alcanzar lo anterior el E</w:t>
      </w:r>
      <w:r w:rsidR="005D1333" w:rsidRPr="005D10C1">
        <w:rPr>
          <w:rFonts w:ascii="Candara" w:hAnsi="Candara"/>
        </w:rPr>
        <w:t>stado diseñó estrategias</w:t>
      </w:r>
      <w:r w:rsidR="00117A6C" w:rsidRPr="005D10C1">
        <w:rPr>
          <w:rFonts w:ascii="Candara" w:hAnsi="Candara"/>
        </w:rPr>
        <w:t xml:space="preserve"> que dan marco a la creación de spin-</w:t>
      </w:r>
      <w:r w:rsidR="00FC15A1" w:rsidRPr="005D10C1">
        <w:rPr>
          <w:rFonts w:ascii="Candara" w:hAnsi="Candara"/>
        </w:rPr>
        <w:t>off:</w:t>
      </w:r>
    </w:p>
    <w:p w14:paraId="32BBB0A5" w14:textId="77777777" w:rsidR="005D1333" w:rsidRPr="005D10C1" w:rsidRDefault="005D1333" w:rsidP="001B24A9">
      <w:pPr>
        <w:pStyle w:val="Prrafodelista"/>
        <w:numPr>
          <w:ilvl w:val="0"/>
          <w:numId w:val="12"/>
        </w:numPr>
        <w:spacing w:line="360" w:lineRule="auto"/>
        <w:rPr>
          <w:rFonts w:ascii="Candara" w:hAnsi="Candara"/>
        </w:rPr>
      </w:pPr>
      <w:r w:rsidRPr="005D10C1">
        <w:rPr>
          <w:rFonts w:ascii="Candara" w:hAnsi="Candara"/>
        </w:rPr>
        <w:t>Fomentar la innovación en el aparato productivo colombiano a través de un portafolio o conjunt</w:t>
      </w:r>
      <w:r w:rsidR="001D04B3" w:rsidRPr="005D10C1">
        <w:rPr>
          <w:rFonts w:ascii="Candara" w:hAnsi="Candara"/>
        </w:rPr>
        <w:t xml:space="preserve">o integral de instrumentos que </w:t>
      </w:r>
      <w:r w:rsidRPr="005D10C1">
        <w:rPr>
          <w:rFonts w:ascii="Candara" w:hAnsi="Candara"/>
        </w:rPr>
        <w:t xml:space="preserve">tenga los recursos y la capacidad operativa para dar el apoyo necesario y suficiente a empresarios e innovadores. </w:t>
      </w:r>
    </w:p>
    <w:p w14:paraId="65746A4E" w14:textId="77777777" w:rsidR="00687253" w:rsidRPr="005D10C1" w:rsidRDefault="00687253" w:rsidP="001B24A9">
      <w:pPr>
        <w:pStyle w:val="Prrafodelista"/>
        <w:numPr>
          <w:ilvl w:val="0"/>
          <w:numId w:val="12"/>
        </w:numPr>
        <w:spacing w:line="360" w:lineRule="auto"/>
        <w:rPr>
          <w:rFonts w:ascii="Candara" w:hAnsi="Candara"/>
        </w:rPr>
      </w:pPr>
      <w:r w:rsidRPr="005D10C1">
        <w:rPr>
          <w:rFonts w:ascii="Candara" w:hAnsi="Candara"/>
        </w:rPr>
        <w:lastRenderedPageBreak/>
        <w:t>Focalizar la acción del Estado en el desarrollo de sectores estratégicos en el largo plazo, que se caractericen por la producción de bienes y servicios de alto contenido científico y tecnológico, y por ende, de alto valor agregado.</w:t>
      </w:r>
    </w:p>
    <w:p w14:paraId="3E1F0D4D" w14:textId="77777777" w:rsidR="005D1333" w:rsidRPr="005D10C1" w:rsidRDefault="005D1333" w:rsidP="005D1333">
      <w:pPr>
        <w:spacing w:line="360" w:lineRule="auto"/>
        <w:ind w:left="360"/>
        <w:rPr>
          <w:rFonts w:ascii="Candara" w:hAnsi="Candara"/>
        </w:rPr>
      </w:pPr>
    </w:p>
    <w:p w14:paraId="484E0A14" w14:textId="77777777" w:rsidR="003729DA" w:rsidRPr="005D10C1" w:rsidRDefault="00D53332" w:rsidP="004E4A66">
      <w:pPr>
        <w:spacing w:line="360" w:lineRule="auto"/>
        <w:ind w:left="360"/>
        <w:rPr>
          <w:rFonts w:ascii="Candara" w:hAnsi="Candara"/>
        </w:rPr>
      </w:pPr>
      <w:r w:rsidRPr="005D10C1">
        <w:rPr>
          <w:rFonts w:ascii="Candara" w:hAnsi="Candara"/>
        </w:rPr>
        <w:t>E</w:t>
      </w:r>
      <w:r w:rsidR="00C4605B" w:rsidRPr="005D10C1">
        <w:rPr>
          <w:rFonts w:ascii="Candara" w:hAnsi="Candara"/>
        </w:rPr>
        <w:t xml:space="preserve">s pertinente </w:t>
      </w:r>
      <w:r w:rsidRPr="005D10C1">
        <w:rPr>
          <w:rFonts w:ascii="Candara" w:hAnsi="Candara"/>
        </w:rPr>
        <w:t xml:space="preserve">mencionar que </w:t>
      </w:r>
      <w:r w:rsidR="004E4A66" w:rsidRPr="005D10C1">
        <w:rPr>
          <w:rFonts w:ascii="Candara" w:hAnsi="Candara"/>
        </w:rPr>
        <w:t>la primera estrategia</w:t>
      </w:r>
      <w:r w:rsidRPr="005D10C1">
        <w:rPr>
          <w:rFonts w:ascii="Candara" w:hAnsi="Candara"/>
        </w:rPr>
        <w:t xml:space="preserve"> está relacionada con este proyecto;</w:t>
      </w:r>
      <w:r w:rsidR="004D3B6A" w:rsidRPr="005D10C1">
        <w:rPr>
          <w:rFonts w:ascii="Candara" w:hAnsi="Candara"/>
        </w:rPr>
        <w:t xml:space="preserve"> </w:t>
      </w:r>
      <w:r w:rsidRPr="005D10C1">
        <w:rPr>
          <w:rFonts w:ascii="Candara" w:hAnsi="Candara"/>
        </w:rPr>
        <w:t xml:space="preserve">pues </w:t>
      </w:r>
      <w:r w:rsidR="004E4A66" w:rsidRPr="005D10C1">
        <w:rPr>
          <w:rFonts w:ascii="Candara" w:hAnsi="Candara"/>
        </w:rPr>
        <w:t>prom</w:t>
      </w:r>
      <w:r w:rsidRPr="005D10C1">
        <w:rPr>
          <w:rFonts w:ascii="Candara" w:hAnsi="Candara"/>
        </w:rPr>
        <w:t>ueve</w:t>
      </w:r>
      <w:r w:rsidR="004E4A66" w:rsidRPr="005D10C1">
        <w:rPr>
          <w:rFonts w:ascii="Candara" w:hAnsi="Candara"/>
        </w:rPr>
        <w:t xml:space="preserve"> la innovaci</w:t>
      </w:r>
      <w:r w:rsidR="00FE1B4E" w:rsidRPr="005D10C1">
        <w:rPr>
          <w:rFonts w:ascii="Candara" w:hAnsi="Candara"/>
        </w:rPr>
        <w:t xml:space="preserve">ón en los sistemas productivos; </w:t>
      </w:r>
      <w:r w:rsidRPr="005D10C1">
        <w:rPr>
          <w:rFonts w:ascii="Candara" w:hAnsi="Candara"/>
        </w:rPr>
        <w:t xml:space="preserve">con el </w:t>
      </w:r>
      <w:r w:rsidR="004D3FC9" w:rsidRPr="005D10C1">
        <w:rPr>
          <w:rFonts w:ascii="Candara" w:hAnsi="Candara"/>
        </w:rPr>
        <w:t xml:space="preserve">fuerte </w:t>
      </w:r>
      <w:r w:rsidRPr="005D10C1">
        <w:rPr>
          <w:rFonts w:ascii="Candara" w:hAnsi="Candara"/>
        </w:rPr>
        <w:t>fomento en e</w:t>
      </w:r>
      <w:r w:rsidR="004E4A66" w:rsidRPr="005D10C1">
        <w:rPr>
          <w:rFonts w:ascii="Candara" w:hAnsi="Candara"/>
        </w:rPr>
        <w:t xml:space="preserve">l emprendimiento innovador de alto contenido tecnológico. Esta estrategia tiene como acciones puntales las siguientes: </w:t>
      </w:r>
    </w:p>
    <w:p w14:paraId="74E58990" w14:textId="77777777" w:rsidR="00D53332" w:rsidRPr="005D10C1" w:rsidRDefault="00D53332" w:rsidP="004E4A66">
      <w:pPr>
        <w:spacing w:line="360" w:lineRule="auto"/>
        <w:ind w:left="360"/>
        <w:rPr>
          <w:rFonts w:ascii="Candara" w:hAnsi="Candara"/>
        </w:rPr>
      </w:pPr>
    </w:p>
    <w:p w14:paraId="24DB5386" w14:textId="77777777" w:rsidR="003729DA" w:rsidRPr="005D10C1" w:rsidRDefault="003729DA" w:rsidP="001B24A9">
      <w:pPr>
        <w:pStyle w:val="Prrafodelista"/>
        <w:numPr>
          <w:ilvl w:val="0"/>
          <w:numId w:val="13"/>
        </w:numPr>
        <w:spacing w:line="360" w:lineRule="auto"/>
        <w:rPr>
          <w:rFonts w:ascii="Candara" w:hAnsi="Candara"/>
        </w:rPr>
      </w:pPr>
      <w:r w:rsidRPr="005D10C1">
        <w:rPr>
          <w:rFonts w:ascii="Candara" w:hAnsi="Candara"/>
        </w:rPr>
        <w:t>R</w:t>
      </w:r>
      <w:r w:rsidR="004E4A66" w:rsidRPr="005D10C1">
        <w:rPr>
          <w:rFonts w:ascii="Candara" w:hAnsi="Candara"/>
        </w:rPr>
        <w:t xml:space="preserve">evisión y reformulación del sistema nacional de incubación </w:t>
      </w:r>
      <w:r w:rsidRPr="005D10C1">
        <w:rPr>
          <w:rFonts w:ascii="Candara" w:hAnsi="Candara"/>
        </w:rPr>
        <w:t>de empresas</w:t>
      </w:r>
      <w:r w:rsidR="004D3B6A" w:rsidRPr="005D10C1">
        <w:rPr>
          <w:rFonts w:ascii="Candara" w:hAnsi="Candara"/>
        </w:rPr>
        <w:t>.</w:t>
      </w:r>
    </w:p>
    <w:p w14:paraId="0D1FF90D" w14:textId="77777777" w:rsidR="003729DA" w:rsidRPr="005D10C1" w:rsidRDefault="003729DA" w:rsidP="001B24A9">
      <w:pPr>
        <w:pStyle w:val="Prrafodelista"/>
        <w:numPr>
          <w:ilvl w:val="0"/>
          <w:numId w:val="13"/>
        </w:numPr>
        <w:spacing w:line="360" w:lineRule="auto"/>
        <w:rPr>
          <w:rFonts w:ascii="Candara" w:hAnsi="Candara"/>
        </w:rPr>
      </w:pPr>
      <w:r w:rsidRPr="005D10C1">
        <w:rPr>
          <w:rFonts w:ascii="Candara" w:hAnsi="Candara"/>
        </w:rPr>
        <w:t>F</w:t>
      </w:r>
      <w:r w:rsidR="004E4A66" w:rsidRPr="005D10C1">
        <w:rPr>
          <w:rFonts w:ascii="Candara" w:hAnsi="Candara"/>
        </w:rPr>
        <w:t>inanciación de los costos de elaboración de  planes de negocio para la creación de empresas innovadoras y de base tecnológica</w:t>
      </w:r>
      <w:r w:rsidR="004D3B6A" w:rsidRPr="005D10C1">
        <w:rPr>
          <w:rFonts w:ascii="Candara" w:hAnsi="Candara"/>
        </w:rPr>
        <w:t>.</w:t>
      </w:r>
    </w:p>
    <w:p w14:paraId="1EA21222" w14:textId="77777777" w:rsidR="003729DA" w:rsidRPr="005D10C1" w:rsidRDefault="003729DA" w:rsidP="001B24A9">
      <w:pPr>
        <w:pStyle w:val="Prrafodelista"/>
        <w:numPr>
          <w:ilvl w:val="0"/>
          <w:numId w:val="13"/>
        </w:numPr>
        <w:spacing w:line="360" w:lineRule="auto"/>
        <w:rPr>
          <w:rFonts w:ascii="Candara" w:hAnsi="Candara"/>
        </w:rPr>
      </w:pPr>
      <w:r w:rsidRPr="005D10C1">
        <w:rPr>
          <w:rFonts w:ascii="Candara" w:hAnsi="Candara"/>
        </w:rPr>
        <w:t>R</w:t>
      </w:r>
      <w:r w:rsidR="004E4A66" w:rsidRPr="005D10C1">
        <w:rPr>
          <w:rFonts w:ascii="Candara" w:hAnsi="Candara"/>
        </w:rPr>
        <w:t>ealización de encuentros entre nuevos e</w:t>
      </w:r>
      <w:r w:rsidRPr="005D10C1">
        <w:rPr>
          <w:rFonts w:ascii="Candara" w:hAnsi="Candara"/>
        </w:rPr>
        <w:t>mpresarios e inversionistas</w:t>
      </w:r>
      <w:r w:rsidR="004D3B6A" w:rsidRPr="005D10C1">
        <w:rPr>
          <w:rFonts w:ascii="Candara" w:hAnsi="Candara"/>
        </w:rPr>
        <w:t>.</w:t>
      </w:r>
    </w:p>
    <w:p w14:paraId="4A9E74D9" w14:textId="77777777" w:rsidR="004E4A66" w:rsidRPr="005D10C1" w:rsidRDefault="003729DA" w:rsidP="001B24A9">
      <w:pPr>
        <w:pStyle w:val="Prrafodelista"/>
        <w:numPr>
          <w:ilvl w:val="0"/>
          <w:numId w:val="13"/>
        </w:numPr>
        <w:spacing w:line="360" w:lineRule="auto"/>
        <w:rPr>
          <w:rFonts w:ascii="Candara" w:hAnsi="Candara"/>
        </w:rPr>
      </w:pPr>
      <w:r w:rsidRPr="005D10C1">
        <w:rPr>
          <w:rFonts w:ascii="Candara" w:hAnsi="Candara"/>
        </w:rPr>
        <w:t>D</w:t>
      </w:r>
      <w:r w:rsidR="004E4A66" w:rsidRPr="005D10C1">
        <w:rPr>
          <w:rFonts w:ascii="Candara" w:hAnsi="Candara"/>
        </w:rPr>
        <w:t>iseño de un programa para apoyar emprendimientos en las universidades, los centros de investigación y los centros de desarrollo tecnológico</w:t>
      </w:r>
      <w:r w:rsidR="0049128D" w:rsidRPr="005D10C1">
        <w:rPr>
          <w:rFonts w:ascii="Candara" w:hAnsi="Candara"/>
        </w:rPr>
        <w:t>.</w:t>
      </w:r>
    </w:p>
    <w:p w14:paraId="3BF58226" w14:textId="77777777" w:rsidR="00D24706" w:rsidRPr="005D10C1" w:rsidRDefault="00D24706" w:rsidP="00D24706">
      <w:pPr>
        <w:spacing w:line="360" w:lineRule="auto"/>
        <w:rPr>
          <w:rFonts w:ascii="Candara" w:hAnsi="Candara"/>
        </w:rPr>
      </w:pPr>
    </w:p>
    <w:p w14:paraId="548EB310" w14:textId="77777777" w:rsidR="00D24706" w:rsidRPr="005D10C1" w:rsidRDefault="006F6FF6" w:rsidP="00D24706">
      <w:pPr>
        <w:spacing w:line="360" w:lineRule="auto"/>
        <w:rPr>
          <w:rFonts w:ascii="Candara" w:hAnsi="Candara"/>
        </w:rPr>
      </w:pPr>
      <w:r w:rsidRPr="005D10C1">
        <w:rPr>
          <w:rFonts w:ascii="Candara" w:hAnsi="Candara"/>
        </w:rPr>
        <w:t>L</w:t>
      </w:r>
      <w:r w:rsidR="00D24706" w:rsidRPr="005D10C1">
        <w:rPr>
          <w:rFonts w:ascii="Candara" w:hAnsi="Candara"/>
        </w:rPr>
        <w:t xml:space="preserve">a legislación Colombiana de Ciencia Tecnología e Innovación  ha evolucionado de forma favorable para las Universidades al brindar mecanismos para establecer relaciones con el entorno y  diversificar las fuentes de financiación. Esta evolución ha </w:t>
      </w:r>
      <w:r w:rsidRPr="005D10C1">
        <w:rPr>
          <w:rFonts w:ascii="Candara" w:hAnsi="Candara"/>
        </w:rPr>
        <w:t>generado</w:t>
      </w:r>
      <w:r w:rsidR="00D24706" w:rsidRPr="005D10C1">
        <w:rPr>
          <w:rFonts w:ascii="Candara" w:hAnsi="Candara"/>
        </w:rPr>
        <w:t xml:space="preserve"> un ambiente de confianza para el fortalecimiento del Sistema Nacional de innovación y ha favorecido la comunicación entre la Empresa, e</w:t>
      </w:r>
      <w:r w:rsidRPr="005D10C1">
        <w:rPr>
          <w:rFonts w:ascii="Candara" w:hAnsi="Candara"/>
        </w:rPr>
        <w:t xml:space="preserve">l Estado y otras Universidades </w:t>
      </w:r>
      <w:r w:rsidR="003B0D24" w:rsidRPr="005D10C1">
        <w:rPr>
          <w:rFonts w:ascii="Candara" w:hAnsi="Candara"/>
        </w:rPr>
        <w:fldChar w:fldCharType="begin" w:fldLock="1"/>
      </w:r>
      <w:r w:rsidR="00CA1A09" w:rsidRPr="005D10C1">
        <w:rPr>
          <w:rFonts w:ascii="Candara" w:hAnsi="Candara"/>
        </w:rPr>
        <w:instrText>ADDIN CSL_CITATION { "citationItems" : [ { "id" : "ITEM-1", "itemData" : { "author" : [ { "dropping-particle" : "", "family" : "Tamayo", "given" : "Luz", "non-dropping-particle" : "", "parse-names" : false, "suffix" : "" } ], "id" : "ITEM-1", "issued" : { "date-parts" : [ [ "2011" ] ] }, "page" : "102", "publisher" : "Universidad Nacional de Colombia", "title" : "Condiciones institucionales para la creaci\u00f3n de una spin-off acad\u00e9mica: Caso, la Facultad de Minas de la Universidad Nacional de Colombia", "type" : "thesis" }, "uris" : [ "http://www.mendeley.com/documents/?uuid=a2eea0ab-162d-42d3-8bb6-2390ee5fc446", "http://www.mendeley.com/documents/?uuid=5f51c5f1-ca63-4312-886d-014c1ca255df" ] } ], "mendeley" : { "previouslyFormattedCitation" : "(Tamayo, 2011)" }, "properties" : { "noteIndex" : 0 }, "schema" : "https://github.com/citation-style-language/schema/raw/master/csl-citation.json" }</w:instrText>
      </w:r>
      <w:r w:rsidR="003B0D24" w:rsidRPr="005D10C1">
        <w:rPr>
          <w:rFonts w:ascii="Candara" w:hAnsi="Candara"/>
        </w:rPr>
        <w:fldChar w:fldCharType="separate"/>
      </w:r>
      <w:r w:rsidR="00CA1A09" w:rsidRPr="005D10C1">
        <w:rPr>
          <w:rFonts w:ascii="Candara" w:hAnsi="Candara"/>
          <w:noProof/>
        </w:rPr>
        <w:t>(Tamayo, 2011)</w:t>
      </w:r>
      <w:r w:rsidR="003B0D24" w:rsidRPr="005D10C1">
        <w:rPr>
          <w:rFonts w:ascii="Candara" w:hAnsi="Candara"/>
        </w:rPr>
        <w:fldChar w:fldCharType="end"/>
      </w:r>
      <w:r w:rsidR="00D24706" w:rsidRPr="005D10C1">
        <w:rPr>
          <w:rFonts w:ascii="Candara" w:hAnsi="Candara"/>
        </w:rPr>
        <w:t>.</w:t>
      </w:r>
    </w:p>
    <w:p w14:paraId="01783CB1" w14:textId="77777777" w:rsidR="00D24706" w:rsidRPr="005D10C1" w:rsidRDefault="00D24706" w:rsidP="0049128D">
      <w:pPr>
        <w:spacing w:line="360" w:lineRule="auto"/>
        <w:rPr>
          <w:rFonts w:ascii="Candara" w:hAnsi="Candara"/>
        </w:rPr>
      </w:pPr>
    </w:p>
    <w:p w14:paraId="7CBCF789" w14:textId="77777777" w:rsidR="001D04B3" w:rsidRPr="005D10C1" w:rsidRDefault="001D04B3" w:rsidP="006F6FF6">
      <w:pPr>
        <w:pStyle w:val="Ttulo3"/>
        <w:rPr>
          <w:rFonts w:ascii="Candara" w:hAnsi="Candara"/>
          <w:color w:val="auto"/>
        </w:rPr>
      </w:pPr>
      <w:bookmarkStart w:id="280" w:name="_Toc377653157"/>
      <w:r w:rsidRPr="005D10C1">
        <w:rPr>
          <w:rFonts w:ascii="Candara" w:hAnsi="Candara"/>
          <w:color w:val="auto"/>
        </w:rPr>
        <w:t>Agentes del sistema</w:t>
      </w:r>
      <w:bookmarkEnd w:id="280"/>
    </w:p>
    <w:p w14:paraId="78714D89" w14:textId="77777777" w:rsidR="00541247" w:rsidRPr="005D10C1" w:rsidRDefault="00541247" w:rsidP="000E4E77">
      <w:pPr>
        <w:spacing w:line="360" w:lineRule="auto"/>
        <w:rPr>
          <w:rFonts w:ascii="Candara" w:hAnsi="Candara"/>
        </w:rPr>
      </w:pPr>
    </w:p>
    <w:p w14:paraId="2DB8756F" w14:textId="77777777" w:rsidR="00541247" w:rsidRPr="005D10C1" w:rsidRDefault="00541247" w:rsidP="003E4578">
      <w:pPr>
        <w:spacing w:line="360" w:lineRule="auto"/>
        <w:rPr>
          <w:rFonts w:ascii="Candara" w:hAnsi="Candara"/>
        </w:rPr>
      </w:pPr>
      <w:r w:rsidRPr="005D10C1">
        <w:rPr>
          <w:rFonts w:ascii="Candara" w:hAnsi="Candara"/>
        </w:rPr>
        <w:t xml:space="preserve">Hablar de todos los actores que componen el SNCTI es un tema complejo, debido a la cantidad que son y a </w:t>
      </w:r>
      <w:r w:rsidR="003E4578" w:rsidRPr="005D10C1">
        <w:rPr>
          <w:rFonts w:ascii="Candara" w:hAnsi="Candara"/>
        </w:rPr>
        <w:t xml:space="preserve">las particularidades que poseen; dado que el objetivo central de </w:t>
      </w:r>
      <w:r w:rsidR="003E4578" w:rsidRPr="005D10C1">
        <w:rPr>
          <w:rFonts w:ascii="Candara" w:hAnsi="Candara"/>
        </w:rPr>
        <w:lastRenderedPageBreak/>
        <w:t xml:space="preserve">este trabajo no es describir este Sistema solamente se mencionarán algunos de los </w:t>
      </w:r>
      <w:r w:rsidRPr="005D10C1">
        <w:rPr>
          <w:rFonts w:ascii="Candara" w:hAnsi="Candara"/>
        </w:rPr>
        <w:t>actores</w:t>
      </w:r>
      <w:r w:rsidR="00882207" w:rsidRPr="005D10C1">
        <w:rPr>
          <w:rFonts w:ascii="Candara" w:hAnsi="Candara"/>
        </w:rPr>
        <w:t xml:space="preserve"> o agentes más representativos.</w:t>
      </w:r>
    </w:p>
    <w:p w14:paraId="187DF61F" w14:textId="77777777" w:rsidR="00541247" w:rsidRPr="005D10C1" w:rsidRDefault="00541247" w:rsidP="000E4E77">
      <w:pPr>
        <w:spacing w:line="360" w:lineRule="auto"/>
        <w:rPr>
          <w:rFonts w:ascii="Candara" w:hAnsi="Candara"/>
        </w:rPr>
      </w:pPr>
    </w:p>
    <w:p w14:paraId="3357D216" w14:textId="77777777" w:rsidR="00D404AC" w:rsidRPr="005D10C1" w:rsidRDefault="00D404AC" w:rsidP="000E4E77">
      <w:pPr>
        <w:spacing w:line="360" w:lineRule="auto"/>
        <w:rPr>
          <w:rFonts w:ascii="Candara" w:hAnsi="Candara"/>
        </w:rPr>
      </w:pPr>
    </w:p>
    <w:p w14:paraId="4B237321" w14:textId="77777777" w:rsidR="00D404AC" w:rsidRPr="005D10C1" w:rsidRDefault="00D404AC" w:rsidP="000E4E77">
      <w:pPr>
        <w:spacing w:line="360" w:lineRule="auto"/>
        <w:rPr>
          <w:rFonts w:ascii="Candara" w:hAnsi="Candara"/>
        </w:rPr>
      </w:pPr>
    </w:p>
    <w:p w14:paraId="2A048A5D" w14:textId="77777777" w:rsidR="000E4E77" w:rsidRPr="005D10C1" w:rsidRDefault="000E4E77" w:rsidP="000E4E77">
      <w:pPr>
        <w:spacing w:line="360" w:lineRule="auto"/>
        <w:rPr>
          <w:rFonts w:ascii="Candara" w:hAnsi="Candara"/>
          <w:i/>
        </w:rPr>
      </w:pPr>
      <w:r w:rsidRPr="005D10C1">
        <w:rPr>
          <w:rFonts w:ascii="Candara" w:hAnsi="Candara"/>
          <w:i/>
        </w:rPr>
        <w:t>Consejo Nacional de Ciencia y Tecnología (CNCyT)</w:t>
      </w:r>
    </w:p>
    <w:p w14:paraId="0B3CCF4E" w14:textId="77777777" w:rsidR="001D04B3" w:rsidRPr="005D10C1" w:rsidRDefault="000E4E77" w:rsidP="000E4E77">
      <w:pPr>
        <w:spacing w:line="360" w:lineRule="auto"/>
        <w:rPr>
          <w:rFonts w:ascii="Candara" w:hAnsi="Candara"/>
        </w:rPr>
      </w:pPr>
      <w:r w:rsidRPr="005D10C1">
        <w:rPr>
          <w:rFonts w:ascii="Candara" w:hAnsi="Candara"/>
        </w:rPr>
        <w:t>Es el órgano permanente de dirección y coordinación del sistema de ciencia y tecnología, actuando como principal asesor del gobierno en esta materia. El Consejo está encabezado por el Presidente de la República y está integrado por el jefe del Departamento Nacional de Planeación, los ministros de Desarrollo Económico, Agricultura y Educación, el rector de la Universidad Nacional, un rector de una universidad privada, un miembro de la comunidad científica, un miembro del sector privado, un representante de las Comisiones Regionales de Ciencia y Tecnolog</w:t>
      </w:r>
      <w:r w:rsidR="008D10C7" w:rsidRPr="005D10C1">
        <w:rPr>
          <w:rFonts w:ascii="Candara" w:hAnsi="Candara"/>
        </w:rPr>
        <w:t xml:space="preserve">ía y el director de COLCIENCIAS </w:t>
      </w:r>
      <w:r w:rsidR="003B0D24" w:rsidRPr="005D10C1">
        <w:rPr>
          <w:rFonts w:ascii="Candara" w:hAnsi="Candara"/>
        </w:rPr>
        <w:fldChar w:fldCharType="begin" w:fldLock="1"/>
      </w:r>
      <w:r w:rsidR="00CA1A09" w:rsidRPr="005D10C1">
        <w:rPr>
          <w:rFonts w:ascii="Candara" w:hAnsi="Candara"/>
        </w:rPr>
        <w:instrText>ADDIN CSL_CITATION { "citationItems" : [ { "id" : "ITEM-1", "itemData" : { "URL" : "http://www.colciencias.gov.co/", "accessed" : { "date-parts" : [ [ "2013", "7", "4" ] ] }, "id" : "ITEM-1", "issued" : { "date-parts" : [ [ "2012" ] ] }, "title" : "Departamento Administrativo de Ciencia, Tecnolog\u00eda e Innovaci\u00f3n | Colciencias", "type" : "webpage" }, "uris" : [ "http://www.mendeley.com/documents/?uuid=b336776c-e0fb-4fc5-840f-b714d96b5e0b" ] } ], "mendeley" : { "previouslyFormattedCitation" : "(\u201cDepartamento Administrativo de Ciencia, Tecnolog\u00eda e Innovaci\u00f3n | Colciencias,\u201d 2012)" }, "properties" : { "noteIndex" : 0 }, "schema" : "https://github.com/citation-style-language/schema/raw/master/csl-citation.json" }</w:instrText>
      </w:r>
      <w:r w:rsidR="003B0D24" w:rsidRPr="005D10C1">
        <w:rPr>
          <w:rFonts w:ascii="Candara" w:hAnsi="Candara"/>
        </w:rPr>
        <w:fldChar w:fldCharType="separate"/>
      </w:r>
      <w:r w:rsidR="00280874" w:rsidRPr="005D10C1">
        <w:rPr>
          <w:rFonts w:ascii="Candara" w:hAnsi="Candara"/>
          <w:noProof/>
        </w:rPr>
        <w:t>(“Departamento Administrativo de Ciencia, Tecnología e Innovación | Colciencias,” 2012)</w:t>
      </w:r>
      <w:r w:rsidR="003B0D24" w:rsidRPr="005D10C1">
        <w:rPr>
          <w:rFonts w:ascii="Candara" w:hAnsi="Candara"/>
        </w:rPr>
        <w:fldChar w:fldCharType="end"/>
      </w:r>
      <w:r w:rsidR="008D10C7" w:rsidRPr="005D10C1">
        <w:rPr>
          <w:rFonts w:ascii="Candara" w:hAnsi="Candara"/>
        </w:rPr>
        <w:t>.</w:t>
      </w:r>
    </w:p>
    <w:p w14:paraId="36E99BAF" w14:textId="77777777" w:rsidR="000E4E77" w:rsidRPr="005D10C1" w:rsidRDefault="000E4E77" w:rsidP="0049128D">
      <w:pPr>
        <w:spacing w:line="360" w:lineRule="auto"/>
        <w:rPr>
          <w:rFonts w:ascii="Candara" w:hAnsi="Candara"/>
          <w:b/>
        </w:rPr>
      </w:pPr>
    </w:p>
    <w:p w14:paraId="3B0652D4" w14:textId="77777777" w:rsidR="000E4E77" w:rsidRPr="005D10C1" w:rsidRDefault="000E4E77" w:rsidP="0049128D">
      <w:pPr>
        <w:spacing w:line="360" w:lineRule="auto"/>
        <w:rPr>
          <w:rFonts w:ascii="Candara" w:hAnsi="Candara"/>
          <w:i/>
        </w:rPr>
      </w:pPr>
      <w:r w:rsidRPr="005D10C1">
        <w:rPr>
          <w:rFonts w:ascii="Candara" w:hAnsi="Candara"/>
          <w:i/>
        </w:rPr>
        <w:t>Colciencias</w:t>
      </w:r>
    </w:p>
    <w:p w14:paraId="7CA46913" w14:textId="77777777" w:rsidR="001D04B3" w:rsidRPr="005D10C1" w:rsidRDefault="000E4E77" w:rsidP="0049128D">
      <w:pPr>
        <w:spacing w:line="360" w:lineRule="auto"/>
        <w:rPr>
          <w:rFonts w:ascii="Candara" w:hAnsi="Candara"/>
        </w:rPr>
      </w:pPr>
      <w:r w:rsidRPr="005D10C1">
        <w:rPr>
          <w:rFonts w:ascii="Candara" w:hAnsi="Candara"/>
        </w:rPr>
        <w:t>Departamento Administrativo de Ciencia, Tecnología e Innovación -COLCIENCIAS-, es el encargado de formular, orientar, dirigir, coordinar, ejecutar e implementar la política del Estado en la materia, en concordancia con los planes y programas de desarrollo.</w:t>
      </w:r>
    </w:p>
    <w:p w14:paraId="4A600AD8" w14:textId="77777777" w:rsidR="000E4E77" w:rsidRPr="005D10C1" w:rsidRDefault="000E4E77" w:rsidP="0049128D">
      <w:pPr>
        <w:spacing w:line="360" w:lineRule="auto"/>
        <w:rPr>
          <w:rFonts w:ascii="Candara" w:hAnsi="Candara"/>
        </w:rPr>
      </w:pPr>
    </w:p>
    <w:p w14:paraId="618CCD91" w14:textId="77777777" w:rsidR="000E4E77" w:rsidRPr="005D10C1" w:rsidRDefault="000E4E77" w:rsidP="0049128D">
      <w:pPr>
        <w:spacing w:line="360" w:lineRule="auto"/>
        <w:rPr>
          <w:rFonts w:ascii="Candara" w:hAnsi="Candara"/>
          <w:i/>
        </w:rPr>
      </w:pPr>
      <w:r w:rsidRPr="005D10C1">
        <w:rPr>
          <w:rFonts w:ascii="Candara" w:hAnsi="Candara"/>
          <w:i/>
        </w:rPr>
        <w:t xml:space="preserve">Consejo </w:t>
      </w:r>
      <w:r w:rsidR="002678F8" w:rsidRPr="005D10C1">
        <w:rPr>
          <w:rFonts w:ascii="Candara" w:hAnsi="Candara"/>
          <w:i/>
        </w:rPr>
        <w:t>Asesor de Ciencia, Tecnología e Innovación</w:t>
      </w:r>
    </w:p>
    <w:p w14:paraId="71B7305B" w14:textId="77777777" w:rsidR="000E4E77" w:rsidRPr="005D10C1" w:rsidRDefault="004F09A2" w:rsidP="000E4E77">
      <w:pPr>
        <w:spacing w:line="360" w:lineRule="auto"/>
        <w:rPr>
          <w:rFonts w:ascii="Candara" w:hAnsi="Candara"/>
        </w:rPr>
      </w:pPr>
      <w:r w:rsidRPr="005D10C1">
        <w:rPr>
          <w:rFonts w:ascii="Candara" w:hAnsi="Candara"/>
        </w:rPr>
        <w:t>El Consejo Asesor de Ciencia, Tecnología e Innovación es un órgano asesor de COLCIENCIAS</w:t>
      </w:r>
      <w:r w:rsidR="003B0D24" w:rsidRPr="005D10C1">
        <w:rPr>
          <w:rFonts w:ascii="Candara" w:hAnsi="Candara"/>
        </w:rPr>
        <w:fldChar w:fldCharType="begin" w:fldLock="1"/>
      </w:r>
      <w:r w:rsidR="00CA1A09" w:rsidRPr="005D10C1">
        <w:rPr>
          <w:rFonts w:ascii="Candara" w:hAnsi="Candara"/>
        </w:rPr>
        <w:instrText>ADDIN CSL_CITATION { "citationItems" : [ { "id" : "ITEM-1", "itemData" : { "author" : [ { "dropping-particle" : "", "family" : "Congreso de Colombia", "given" : "", "non-dropping-particle" : "", "parse-names" : false, "suffix" : "" } ], "id" : "ITEM-1", "issue" : "enero 23", "issued" : { "date-parts" : [ [ "2009" ] ] }, "page" : "1-19", "title" : "Ley 1286 de 2009", "type" : "article", "volume" : "2009" }, "uris" : [ "http://www.mendeley.com/documents/?uuid=af12d681-759c-498a-bf78-5529108feb9a" ] } ], "mendeley" : { "previouslyFormattedCitation" : "(Congreso de Colombia, 2009)" }, "properties" : { "noteIndex" : 0 }, "schema" : "https://github.com/citation-style-language/schema/raw/master/csl-citation.json" }</w:instrText>
      </w:r>
      <w:r w:rsidR="003B0D24" w:rsidRPr="005D10C1">
        <w:rPr>
          <w:rFonts w:ascii="Candara" w:hAnsi="Candara"/>
        </w:rPr>
        <w:fldChar w:fldCharType="separate"/>
      </w:r>
      <w:r w:rsidRPr="005D10C1">
        <w:rPr>
          <w:rFonts w:ascii="Candara" w:hAnsi="Candara"/>
          <w:noProof/>
        </w:rPr>
        <w:t>(Congreso de Colombia, 2009)</w:t>
      </w:r>
      <w:r w:rsidR="003B0D24" w:rsidRPr="005D10C1">
        <w:rPr>
          <w:rFonts w:ascii="Candara" w:hAnsi="Candara"/>
        </w:rPr>
        <w:fldChar w:fldCharType="end"/>
      </w:r>
      <w:r w:rsidRPr="005D10C1">
        <w:rPr>
          <w:rFonts w:ascii="Candara" w:hAnsi="Candara"/>
        </w:rPr>
        <w:t xml:space="preserve">. </w:t>
      </w:r>
      <w:r w:rsidR="006F49C6" w:rsidRPr="005D10C1">
        <w:rPr>
          <w:rFonts w:ascii="Candara" w:hAnsi="Candara"/>
        </w:rPr>
        <w:t>Este C</w:t>
      </w:r>
      <w:r w:rsidR="000E4E77" w:rsidRPr="005D10C1">
        <w:rPr>
          <w:rFonts w:ascii="Candara" w:hAnsi="Candara"/>
        </w:rPr>
        <w:t>onsejo es el encargado de</w:t>
      </w:r>
      <w:r w:rsidRPr="005D10C1">
        <w:rPr>
          <w:rFonts w:ascii="Candara" w:hAnsi="Candara"/>
        </w:rPr>
        <w:t>:</w:t>
      </w:r>
    </w:p>
    <w:p w14:paraId="1BC6F67E" w14:textId="77777777" w:rsidR="00A54FB0" w:rsidRPr="005D10C1" w:rsidRDefault="000E4E77" w:rsidP="001B24A9">
      <w:pPr>
        <w:pStyle w:val="Prrafodelista"/>
        <w:numPr>
          <w:ilvl w:val="0"/>
          <w:numId w:val="14"/>
        </w:numPr>
        <w:spacing w:line="360" w:lineRule="auto"/>
        <w:rPr>
          <w:rFonts w:ascii="Candara" w:hAnsi="Candara"/>
        </w:rPr>
      </w:pPr>
      <w:r w:rsidRPr="005D10C1">
        <w:rPr>
          <w:rFonts w:ascii="Candara" w:hAnsi="Candara"/>
        </w:rPr>
        <w:t xml:space="preserve">Asesorar a COLCIENCIAS en el diseño de la política pública relativa a ciencia, tecnología e innovación. </w:t>
      </w:r>
    </w:p>
    <w:p w14:paraId="3AEAF4C0" w14:textId="77777777" w:rsidR="000E4E77" w:rsidRPr="005D10C1" w:rsidRDefault="00A54FB0" w:rsidP="001B24A9">
      <w:pPr>
        <w:pStyle w:val="Prrafodelista"/>
        <w:numPr>
          <w:ilvl w:val="0"/>
          <w:numId w:val="14"/>
        </w:numPr>
        <w:spacing w:line="360" w:lineRule="auto"/>
        <w:rPr>
          <w:rFonts w:ascii="Candara" w:hAnsi="Candara"/>
        </w:rPr>
      </w:pPr>
      <w:r w:rsidRPr="005D10C1">
        <w:rPr>
          <w:rFonts w:ascii="Candara" w:hAnsi="Candara"/>
        </w:rPr>
        <w:lastRenderedPageBreak/>
        <w:t>Sugerir</w:t>
      </w:r>
      <w:r w:rsidR="000E4E77" w:rsidRPr="005D10C1">
        <w:rPr>
          <w:rFonts w:ascii="Candara" w:hAnsi="Candara"/>
        </w:rPr>
        <w:t xml:space="preserve"> los criterios para la calificación de programas y proyectos en materia de ciencia, tecnología e innovación con base en los planes de desarrollo, en los documentos CONPES y en las orientaciones trazadas por el Gobierno Nacional.</w:t>
      </w:r>
    </w:p>
    <w:p w14:paraId="62BC2D55" w14:textId="77777777" w:rsidR="000E4E77" w:rsidRPr="005D10C1" w:rsidRDefault="000E4E77" w:rsidP="001B24A9">
      <w:pPr>
        <w:pStyle w:val="Prrafodelista"/>
        <w:numPr>
          <w:ilvl w:val="0"/>
          <w:numId w:val="14"/>
        </w:numPr>
        <w:spacing w:line="360" w:lineRule="auto"/>
        <w:rPr>
          <w:rFonts w:ascii="Candara" w:hAnsi="Candara"/>
        </w:rPr>
      </w:pPr>
      <w:r w:rsidRPr="005D10C1">
        <w:rPr>
          <w:rFonts w:ascii="Candara" w:hAnsi="Candara"/>
        </w:rPr>
        <w:t>Proponer herramientas para el diseño, seguimiento y evaluación de la Política Nacional de Ciencia, Tecnología e Innovación.</w:t>
      </w:r>
    </w:p>
    <w:p w14:paraId="68240FEF" w14:textId="77777777" w:rsidR="000E4E77" w:rsidRPr="005D10C1" w:rsidRDefault="000E4E77" w:rsidP="001B24A9">
      <w:pPr>
        <w:pStyle w:val="Prrafodelista"/>
        <w:numPr>
          <w:ilvl w:val="0"/>
          <w:numId w:val="14"/>
        </w:numPr>
        <w:spacing w:line="360" w:lineRule="auto"/>
        <w:rPr>
          <w:rFonts w:ascii="Candara" w:hAnsi="Candara"/>
        </w:rPr>
      </w:pPr>
      <w:r w:rsidRPr="005D10C1">
        <w:rPr>
          <w:rFonts w:ascii="Candara" w:hAnsi="Candara"/>
        </w:rPr>
        <w:t>Asesorar sobre los programas, políticas, planes y proyectos estratégicos para el desarrollo científico y tecnológico del país que serán desarrollados por COLCIENCIAS.</w:t>
      </w:r>
    </w:p>
    <w:p w14:paraId="4A843FE8" w14:textId="77777777" w:rsidR="000E4E77" w:rsidRPr="005D10C1" w:rsidRDefault="000E4E77" w:rsidP="001B24A9">
      <w:pPr>
        <w:pStyle w:val="Prrafodelista"/>
        <w:numPr>
          <w:ilvl w:val="0"/>
          <w:numId w:val="14"/>
        </w:numPr>
        <w:spacing w:line="360" w:lineRule="auto"/>
        <w:rPr>
          <w:rFonts w:ascii="Candara" w:hAnsi="Candara"/>
        </w:rPr>
      </w:pPr>
      <w:r w:rsidRPr="005D10C1">
        <w:rPr>
          <w:rFonts w:ascii="Candara" w:hAnsi="Candara"/>
        </w:rPr>
        <w:t>Velar por la elaboración permanente de indicadores de Ciencia, Tecnología e Innovación.</w:t>
      </w:r>
    </w:p>
    <w:p w14:paraId="4E947954" w14:textId="77777777" w:rsidR="006B6638" w:rsidRPr="005D10C1" w:rsidRDefault="006B6638" w:rsidP="006B6638">
      <w:pPr>
        <w:spacing w:line="360" w:lineRule="auto"/>
        <w:rPr>
          <w:rFonts w:ascii="Candara" w:hAnsi="Candara"/>
          <w:i/>
        </w:rPr>
      </w:pPr>
    </w:p>
    <w:p w14:paraId="30FF6162" w14:textId="77777777" w:rsidR="00031A26" w:rsidRPr="005D10C1" w:rsidRDefault="00031A26" w:rsidP="00031A26">
      <w:pPr>
        <w:spacing w:line="360" w:lineRule="auto"/>
        <w:rPr>
          <w:rFonts w:ascii="Candara" w:hAnsi="Candara"/>
          <w:i/>
        </w:rPr>
      </w:pPr>
      <w:r w:rsidRPr="005D10C1">
        <w:rPr>
          <w:rFonts w:ascii="Candara" w:hAnsi="Candara"/>
          <w:i/>
        </w:rPr>
        <w:t>Consejos de Programas Nacionales de Ciencia y Tecnología.</w:t>
      </w:r>
    </w:p>
    <w:p w14:paraId="5047CC96" w14:textId="77777777" w:rsidR="006B6638" w:rsidRPr="005D10C1" w:rsidRDefault="00534E1E" w:rsidP="00031A26">
      <w:pPr>
        <w:spacing w:line="360" w:lineRule="auto"/>
        <w:rPr>
          <w:rFonts w:ascii="Candara" w:hAnsi="Candara"/>
        </w:rPr>
      </w:pPr>
      <w:r w:rsidRPr="005D10C1">
        <w:rPr>
          <w:rFonts w:ascii="Candara" w:hAnsi="Candara"/>
        </w:rPr>
        <w:t>Son organismos de asesoría, consulta, orientación y coordinación de las políticas, estrategias e instrumentos de los respectivos programas</w:t>
      </w:r>
      <w:r w:rsidR="00645582" w:rsidRPr="005D10C1">
        <w:rPr>
          <w:rFonts w:ascii="Candara" w:hAnsi="Candara"/>
        </w:rPr>
        <w:t xml:space="preserve"> </w:t>
      </w:r>
      <w:r w:rsidR="003B0D24" w:rsidRPr="005D10C1">
        <w:rPr>
          <w:rFonts w:ascii="Candara" w:hAnsi="Candara"/>
        </w:rPr>
        <w:fldChar w:fldCharType="begin" w:fldLock="1"/>
      </w:r>
      <w:r w:rsidR="00CA1A09" w:rsidRPr="005D10C1">
        <w:rPr>
          <w:rFonts w:ascii="Candara" w:hAnsi="Candara"/>
        </w:rPr>
        <w:instrText>ADDIN CSL_CITATION { "citationItems" : [ { "id" : "ITEM-1", "itemData" : { "author" : [ { "dropping-particle" : "", "family" : "Presidencia de la Rep\u00fablica", "given" : "", "non-dropping-particle" : "", "parse-names" : false, "suffix" : "" } ], "id" : "ITEM-1", "issued" : { "date-parts" : [ [ "2010" ] ] }, "page" : "4", "title" : "Decreto 2610 de 2010", "type" : "article" }, "uris" : [ "http://www.mendeley.com/documents/?uuid=31d182f0-40c8-4dac-ba03-72df38598181", "http://www.mendeley.com/documents/?uuid=dc9a68b5-f731-4119-97a7-e6d74d65929b" ] } ], "mendeley" : { "previouslyFormattedCitation" : "(Presidencia de la Rep\u00fablica, 2010)" }, "properties" : { "noteIndex" : 0 }, "schema" : "https://github.com/citation-style-language/schema/raw/master/csl-citation.json" }</w:instrText>
      </w:r>
      <w:r w:rsidR="003B0D24" w:rsidRPr="005D10C1">
        <w:rPr>
          <w:rFonts w:ascii="Candara" w:hAnsi="Candara"/>
        </w:rPr>
        <w:fldChar w:fldCharType="separate"/>
      </w:r>
      <w:r w:rsidR="00645582" w:rsidRPr="005D10C1">
        <w:rPr>
          <w:rFonts w:ascii="Candara" w:hAnsi="Candara"/>
          <w:noProof/>
        </w:rPr>
        <w:t>(Presidencia de la República, 2010)</w:t>
      </w:r>
      <w:r w:rsidR="003B0D24" w:rsidRPr="005D10C1">
        <w:rPr>
          <w:rFonts w:ascii="Candara" w:hAnsi="Candara"/>
        </w:rPr>
        <w:fldChar w:fldCharType="end"/>
      </w:r>
      <w:r w:rsidRPr="005D10C1">
        <w:rPr>
          <w:rFonts w:ascii="Candara" w:hAnsi="Candara"/>
        </w:rPr>
        <w:t>. Algunas de sus funciones son las siguientes:</w:t>
      </w:r>
    </w:p>
    <w:p w14:paraId="6D80641E" w14:textId="77777777" w:rsidR="00534E1E" w:rsidRPr="005D10C1" w:rsidRDefault="00534E1E" w:rsidP="00534E1E">
      <w:pPr>
        <w:spacing w:line="360" w:lineRule="auto"/>
        <w:rPr>
          <w:rFonts w:ascii="Candara" w:hAnsi="Candara"/>
        </w:rPr>
      </w:pPr>
      <w:r w:rsidRPr="005D10C1">
        <w:rPr>
          <w:rFonts w:ascii="Candara" w:hAnsi="Candara"/>
        </w:rPr>
        <w:t>Asesorar en la orientación de los lineamientos de política de investigación e innovación para el Programa, en el marco de las directrices fijadas en la Política Nacional de Ciencia, Tecnología e Innovación</w:t>
      </w:r>
      <w:r w:rsidR="00645582" w:rsidRPr="005D10C1">
        <w:rPr>
          <w:rFonts w:ascii="Candara" w:hAnsi="Candara"/>
        </w:rPr>
        <w:t xml:space="preserve"> </w:t>
      </w:r>
      <w:r w:rsidR="003B0D24" w:rsidRPr="005D10C1">
        <w:rPr>
          <w:rFonts w:ascii="Candara" w:hAnsi="Candara"/>
        </w:rPr>
        <w:fldChar w:fldCharType="begin" w:fldLock="1"/>
      </w:r>
      <w:r w:rsidR="00CA1A09" w:rsidRPr="005D10C1">
        <w:rPr>
          <w:rFonts w:ascii="Candara" w:hAnsi="Candara"/>
        </w:rPr>
        <w:instrText>ADDIN CSL_CITATION { "citationItems" : [ { "id" : "ITEM-1", "itemData" : { "author" : [ { "dropping-particle" : "", "family" : "Presidencia de la Rep\u00fablica", "given" : "", "non-dropping-particle" : "", "parse-names" : false, "suffix" : "" } ], "id" : "ITEM-1", "issued" : { "date-parts" : [ [ "2010" ] ] }, "page" : "4", "title" : "Decreto 2610 de 2010", "type" : "article" }, "uris" : [ "http://www.mendeley.com/documents/?uuid=31d182f0-40c8-4dac-ba03-72df38598181" ] } ], "mendeley" : { "previouslyFormattedCitation" : "(Presidencia de la Rep\u00fablica, 2010)" }, "properties" : { "noteIndex" : 0 }, "schema" : "https://github.com/citation-style-language/schema/raw/master/csl-citation.json" }</w:instrText>
      </w:r>
      <w:r w:rsidR="003B0D24" w:rsidRPr="005D10C1">
        <w:rPr>
          <w:rFonts w:ascii="Candara" w:hAnsi="Candara"/>
        </w:rPr>
        <w:fldChar w:fldCharType="separate"/>
      </w:r>
      <w:r w:rsidR="00645582" w:rsidRPr="005D10C1">
        <w:rPr>
          <w:rFonts w:ascii="Candara" w:hAnsi="Candara"/>
          <w:noProof/>
        </w:rPr>
        <w:t>(Presidencia de la República, 2010)</w:t>
      </w:r>
      <w:r w:rsidR="003B0D24" w:rsidRPr="005D10C1">
        <w:rPr>
          <w:rFonts w:ascii="Candara" w:hAnsi="Candara"/>
        </w:rPr>
        <w:fldChar w:fldCharType="end"/>
      </w:r>
      <w:r w:rsidRPr="005D10C1">
        <w:rPr>
          <w:rFonts w:ascii="Candara" w:hAnsi="Candara"/>
        </w:rPr>
        <w:t>. Y orientar la formulación e implementación de los Planes Estratégicos de los Programas Nacionales de Ciencia, Tecnología e Innovación y en los criterios para la asignación de recursos.</w:t>
      </w:r>
    </w:p>
    <w:p w14:paraId="718DB3A1" w14:textId="77777777" w:rsidR="00534E1E" w:rsidRPr="005D10C1" w:rsidRDefault="00534E1E" w:rsidP="00534E1E">
      <w:pPr>
        <w:spacing w:line="360" w:lineRule="auto"/>
        <w:rPr>
          <w:rFonts w:ascii="Candara" w:hAnsi="Candara"/>
        </w:rPr>
      </w:pPr>
      <w:r w:rsidRPr="005D10C1">
        <w:rPr>
          <w:rFonts w:ascii="Candara" w:hAnsi="Candara"/>
        </w:rPr>
        <w:t xml:space="preserve">Los programas nacionales son los siguientes: </w:t>
      </w:r>
    </w:p>
    <w:p w14:paraId="64311482" w14:textId="77777777" w:rsidR="00031A26" w:rsidRPr="005D10C1" w:rsidRDefault="00031A26" w:rsidP="001B24A9">
      <w:pPr>
        <w:pStyle w:val="Prrafodelista"/>
        <w:numPr>
          <w:ilvl w:val="1"/>
          <w:numId w:val="15"/>
        </w:numPr>
        <w:spacing w:line="360" w:lineRule="auto"/>
        <w:rPr>
          <w:rFonts w:ascii="Candara" w:hAnsi="Candara"/>
        </w:rPr>
      </w:pPr>
      <w:r w:rsidRPr="005D10C1">
        <w:rPr>
          <w:rFonts w:ascii="Candara" w:hAnsi="Candara"/>
        </w:rPr>
        <w:t xml:space="preserve">Programa de Ciencias Básicas </w:t>
      </w:r>
    </w:p>
    <w:p w14:paraId="49ECA428" w14:textId="77777777" w:rsidR="00031A26" w:rsidRPr="005D10C1" w:rsidRDefault="00031A26" w:rsidP="001B24A9">
      <w:pPr>
        <w:pStyle w:val="Prrafodelista"/>
        <w:numPr>
          <w:ilvl w:val="1"/>
          <w:numId w:val="15"/>
        </w:numPr>
        <w:spacing w:line="360" w:lineRule="auto"/>
        <w:rPr>
          <w:rFonts w:ascii="Candara" w:hAnsi="Candara"/>
        </w:rPr>
      </w:pPr>
      <w:r w:rsidRPr="005D10C1">
        <w:rPr>
          <w:rFonts w:ascii="Candara" w:hAnsi="Candara"/>
        </w:rPr>
        <w:t>Programa de Ciencias Sociales y Humanas</w:t>
      </w:r>
    </w:p>
    <w:p w14:paraId="16625FB6" w14:textId="77777777" w:rsidR="00031A26" w:rsidRPr="005D10C1" w:rsidRDefault="00031A26" w:rsidP="001B24A9">
      <w:pPr>
        <w:pStyle w:val="Prrafodelista"/>
        <w:numPr>
          <w:ilvl w:val="1"/>
          <w:numId w:val="15"/>
        </w:numPr>
        <w:spacing w:line="360" w:lineRule="auto"/>
        <w:rPr>
          <w:rFonts w:ascii="Candara" w:hAnsi="Candara"/>
        </w:rPr>
      </w:pPr>
      <w:r w:rsidRPr="005D10C1">
        <w:rPr>
          <w:rFonts w:ascii="Candara" w:hAnsi="Candara"/>
        </w:rPr>
        <w:t>Programa de Desarrollo Tecnológico Industrial y Calidad</w:t>
      </w:r>
    </w:p>
    <w:p w14:paraId="56FE800A" w14:textId="77777777" w:rsidR="00031A26" w:rsidRPr="005D10C1" w:rsidRDefault="00031A26" w:rsidP="001B24A9">
      <w:pPr>
        <w:pStyle w:val="Prrafodelista"/>
        <w:numPr>
          <w:ilvl w:val="1"/>
          <w:numId w:val="15"/>
        </w:numPr>
        <w:spacing w:line="360" w:lineRule="auto"/>
        <w:rPr>
          <w:rFonts w:ascii="Candara" w:hAnsi="Candara"/>
        </w:rPr>
      </w:pPr>
      <w:r w:rsidRPr="005D10C1">
        <w:rPr>
          <w:rFonts w:ascii="Candara" w:hAnsi="Candara"/>
        </w:rPr>
        <w:t>Programa de Ciencia y Tecnologías Agropecuarias</w:t>
      </w:r>
    </w:p>
    <w:p w14:paraId="7C82DEF0" w14:textId="77777777" w:rsidR="00031A26" w:rsidRPr="005D10C1" w:rsidRDefault="00031A26" w:rsidP="001B24A9">
      <w:pPr>
        <w:pStyle w:val="Prrafodelista"/>
        <w:numPr>
          <w:ilvl w:val="1"/>
          <w:numId w:val="15"/>
        </w:numPr>
        <w:spacing w:line="360" w:lineRule="auto"/>
        <w:rPr>
          <w:rFonts w:ascii="Candara" w:hAnsi="Candara"/>
        </w:rPr>
      </w:pPr>
      <w:r w:rsidRPr="005D10C1">
        <w:rPr>
          <w:rFonts w:ascii="Candara" w:hAnsi="Candara"/>
        </w:rPr>
        <w:t>Programa de Ciencias del Medio Ambiente y el Hábitat</w:t>
      </w:r>
    </w:p>
    <w:p w14:paraId="43AF9F30" w14:textId="77777777" w:rsidR="00031A26" w:rsidRPr="005D10C1" w:rsidRDefault="00031A26" w:rsidP="001B24A9">
      <w:pPr>
        <w:pStyle w:val="Prrafodelista"/>
        <w:numPr>
          <w:ilvl w:val="1"/>
          <w:numId w:val="15"/>
        </w:numPr>
        <w:spacing w:line="360" w:lineRule="auto"/>
        <w:rPr>
          <w:rFonts w:ascii="Candara" w:hAnsi="Candara"/>
        </w:rPr>
      </w:pPr>
      <w:r w:rsidRPr="005D10C1">
        <w:rPr>
          <w:rFonts w:ascii="Candara" w:hAnsi="Candara"/>
        </w:rPr>
        <w:t>Programa de Estudios Científicos de la Educación</w:t>
      </w:r>
    </w:p>
    <w:p w14:paraId="437AD3F9" w14:textId="77777777" w:rsidR="00031A26" w:rsidRPr="005D10C1" w:rsidRDefault="00031A26" w:rsidP="001B24A9">
      <w:pPr>
        <w:pStyle w:val="Prrafodelista"/>
        <w:numPr>
          <w:ilvl w:val="1"/>
          <w:numId w:val="15"/>
        </w:numPr>
        <w:spacing w:line="360" w:lineRule="auto"/>
        <w:rPr>
          <w:rFonts w:ascii="Candara" w:hAnsi="Candara"/>
        </w:rPr>
      </w:pPr>
      <w:r w:rsidRPr="005D10C1">
        <w:rPr>
          <w:rFonts w:ascii="Candara" w:hAnsi="Candara"/>
        </w:rPr>
        <w:lastRenderedPageBreak/>
        <w:t>Programa de Ciencia y Tecnología de la Salud</w:t>
      </w:r>
    </w:p>
    <w:p w14:paraId="5A22C1A3" w14:textId="77777777" w:rsidR="00031A26" w:rsidRPr="005D10C1" w:rsidRDefault="00031A26" w:rsidP="001B24A9">
      <w:pPr>
        <w:pStyle w:val="Prrafodelista"/>
        <w:numPr>
          <w:ilvl w:val="1"/>
          <w:numId w:val="15"/>
        </w:numPr>
        <w:spacing w:line="360" w:lineRule="auto"/>
        <w:rPr>
          <w:rFonts w:ascii="Candara" w:hAnsi="Candara"/>
        </w:rPr>
      </w:pPr>
      <w:r w:rsidRPr="005D10C1">
        <w:rPr>
          <w:rFonts w:ascii="Candara" w:hAnsi="Candara"/>
        </w:rPr>
        <w:t>Programa de Electrónica, Telecomunicaciones e Informática</w:t>
      </w:r>
    </w:p>
    <w:p w14:paraId="026B5D50" w14:textId="77777777" w:rsidR="00031A26" w:rsidRPr="005D10C1" w:rsidRDefault="00031A26" w:rsidP="001B24A9">
      <w:pPr>
        <w:pStyle w:val="Prrafodelista"/>
        <w:numPr>
          <w:ilvl w:val="1"/>
          <w:numId w:val="15"/>
        </w:numPr>
        <w:spacing w:line="360" w:lineRule="auto"/>
        <w:rPr>
          <w:rFonts w:ascii="Candara" w:hAnsi="Candara"/>
        </w:rPr>
      </w:pPr>
      <w:r w:rsidRPr="005D10C1">
        <w:rPr>
          <w:rFonts w:ascii="Candara" w:hAnsi="Candara"/>
        </w:rPr>
        <w:t>Programa de Investigaciones en Energía y Minería</w:t>
      </w:r>
    </w:p>
    <w:p w14:paraId="6BE78A65" w14:textId="77777777" w:rsidR="00031A26" w:rsidRPr="005D10C1" w:rsidRDefault="00031A26" w:rsidP="001B24A9">
      <w:pPr>
        <w:pStyle w:val="Prrafodelista"/>
        <w:numPr>
          <w:ilvl w:val="1"/>
          <w:numId w:val="15"/>
        </w:numPr>
        <w:spacing w:line="360" w:lineRule="auto"/>
        <w:rPr>
          <w:rFonts w:ascii="Candara" w:hAnsi="Candara"/>
        </w:rPr>
      </w:pPr>
      <w:r w:rsidRPr="005D10C1">
        <w:rPr>
          <w:rFonts w:ascii="Candara" w:hAnsi="Candara"/>
        </w:rPr>
        <w:t>Programa de Ciencia y Tecnología del Mar</w:t>
      </w:r>
    </w:p>
    <w:p w14:paraId="2CB537B6" w14:textId="77777777" w:rsidR="00031A26" w:rsidRPr="005D10C1" w:rsidRDefault="00031A26" w:rsidP="001B24A9">
      <w:pPr>
        <w:pStyle w:val="Prrafodelista"/>
        <w:numPr>
          <w:ilvl w:val="1"/>
          <w:numId w:val="15"/>
        </w:numPr>
        <w:spacing w:line="360" w:lineRule="auto"/>
        <w:rPr>
          <w:rFonts w:ascii="Candara" w:hAnsi="Candara"/>
        </w:rPr>
      </w:pPr>
      <w:r w:rsidRPr="005D10C1">
        <w:rPr>
          <w:rFonts w:ascii="Candara" w:hAnsi="Candara"/>
        </w:rPr>
        <w:t>Programa de Biotecnología.</w:t>
      </w:r>
    </w:p>
    <w:p w14:paraId="3F2704A1" w14:textId="77777777" w:rsidR="00031A26" w:rsidRPr="005D10C1" w:rsidRDefault="00031A26" w:rsidP="00031A26">
      <w:pPr>
        <w:spacing w:line="360" w:lineRule="auto"/>
        <w:rPr>
          <w:rFonts w:ascii="Candara" w:hAnsi="Candara"/>
        </w:rPr>
      </w:pPr>
    </w:p>
    <w:p w14:paraId="56E96137" w14:textId="77777777" w:rsidR="00A96D00" w:rsidRPr="005D10C1" w:rsidRDefault="00A96D00" w:rsidP="00031A26">
      <w:pPr>
        <w:spacing w:line="360" w:lineRule="auto"/>
        <w:rPr>
          <w:rFonts w:ascii="Candara" w:hAnsi="Candara"/>
        </w:rPr>
      </w:pPr>
    </w:p>
    <w:p w14:paraId="524354D2" w14:textId="77777777" w:rsidR="009C2BA3" w:rsidRPr="005D10C1" w:rsidRDefault="009C2BA3" w:rsidP="00031A26">
      <w:pPr>
        <w:spacing w:line="360" w:lineRule="auto"/>
        <w:rPr>
          <w:rFonts w:ascii="Candara" w:hAnsi="Candara"/>
          <w:i/>
        </w:rPr>
      </w:pPr>
      <w:r w:rsidRPr="005D10C1">
        <w:rPr>
          <w:rFonts w:ascii="Candara" w:hAnsi="Candara"/>
          <w:i/>
        </w:rPr>
        <w:t>Observatorio Colombiano de Ciencia y Tecnología (OCyT).</w:t>
      </w:r>
    </w:p>
    <w:p w14:paraId="7C19CDF5" w14:textId="77777777" w:rsidR="00A96D00" w:rsidRPr="005D10C1" w:rsidRDefault="009C2BA3" w:rsidP="00A96D00">
      <w:pPr>
        <w:spacing w:line="360" w:lineRule="auto"/>
        <w:rPr>
          <w:rFonts w:ascii="Candara" w:hAnsi="Candara"/>
        </w:rPr>
      </w:pPr>
      <w:r w:rsidRPr="005D10C1">
        <w:rPr>
          <w:rFonts w:ascii="Candara" w:hAnsi="Candara"/>
        </w:rPr>
        <w:t xml:space="preserve">El OCyT </w:t>
      </w:r>
      <w:r w:rsidR="00A96D00" w:rsidRPr="005D10C1">
        <w:rPr>
          <w:rFonts w:ascii="Candara" w:hAnsi="Candara"/>
        </w:rPr>
        <w:t>es un organismo sin ánimo de lucro que tiene como misión contribuir al conocimiento</w:t>
      </w:r>
      <w:r w:rsidRPr="005D10C1">
        <w:rPr>
          <w:rFonts w:ascii="Candara" w:hAnsi="Candara"/>
        </w:rPr>
        <w:t xml:space="preserve"> cuantitativo y cualitativo del </w:t>
      </w:r>
      <w:r w:rsidR="00A96D00" w:rsidRPr="005D10C1">
        <w:rPr>
          <w:rFonts w:ascii="Candara" w:hAnsi="Candara"/>
        </w:rPr>
        <w:t>SNCTI mediante la producción de estadísticas e indicadores, y apoyar los procesos estratégicos de planificación y toma de decisiones a través de una interpretación integral de la dinámica de la ciencia, la tecnología, y la innovación -CTI- en el país y de su posicionamiento a nivel regional y mundial.</w:t>
      </w:r>
      <w:r w:rsidR="00011A9F" w:rsidRPr="005D10C1">
        <w:rPr>
          <w:rFonts w:ascii="Candara" w:hAnsi="Candara"/>
        </w:rPr>
        <w:t xml:space="preserve"> </w:t>
      </w:r>
      <w:r w:rsidR="00A96D00" w:rsidRPr="005D10C1">
        <w:rPr>
          <w:rFonts w:ascii="Candara" w:hAnsi="Candara"/>
        </w:rPr>
        <w:t>Complementario a la producción de estadísticas e indicadores sobre CTI, el OCyT elabora y transfiere metodologías de medición a los diferentes actores del SNCTI, e investiga sobre el estado y la dinámica de la CTI en Colombia. Su labor busca dar cuenta sobre la generación y adaptación del conocimiento en el país, quién lo hace, dónde lo hace, con qué recursos, qué produce, quién lo financia, cómo circulan sus resulta</w:t>
      </w:r>
      <w:r w:rsidR="00011A9F" w:rsidRPr="005D10C1">
        <w:rPr>
          <w:rFonts w:ascii="Candara" w:hAnsi="Candara"/>
        </w:rPr>
        <w:t>dos, con quién tiene relaciones y</w:t>
      </w:r>
      <w:r w:rsidR="00A96D00" w:rsidRPr="005D10C1">
        <w:rPr>
          <w:rFonts w:ascii="Candara" w:hAnsi="Candara"/>
        </w:rPr>
        <w:t xml:space="preserve"> qué impacto produce en la sociedad</w:t>
      </w:r>
      <w:r w:rsidR="003B0D24" w:rsidRPr="005D10C1">
        <w:rPr>
          <w:rFonts w:ascii="Candara" w:hAnsi="Candara"/>
        </w:rPr>
        <w:fldChar w:fldCharType="begin" w:fldLock="1"/>
      </w:r>
      <w:r w:rsidR="00CA1A09" w:rsidRPr="005D10C1">
        <w:rPr>
          <w:rFonts w:ascii="Candara" w:hAnsi="Candara"/>
        </w:rPr>
        <w:instrText>ADDIN CSL_CITATION { "citationItems" : [ { "id" : "ITEM-1", "itemData" : { "URL" : "http://ocyt.org.co/html/", "id" : "ITEM-1", "issued" : { "date-parts" : [ [ "0" ] ] }, "title" : "Observatorio Colombiano de Ciencia y Tecnolog\u00eda", "type" : "webpage" }, "uris" : [ "http://www.mendeley.com/documents/?uuid=f9efb79b-bbb2-41e1-bc5d-cf8a79329bed" ] } ], "mendeley" : { "previouslyFormattedCitation" : "(\u201cObservatorio Colombiano de Ciencia y Tecnolog\u00eda,\u201d n.d.)" }, "properties" : { "noteIndex" : 0 }, "schema" : "https://github.com/citation-style-language/schema/raw/master/csl-citation.json" }</w:instrText>
      </w:r>
      <w:r w:rsidR="003B0D24" w:rsidRPr="005D10C1">
        <w:rPr>
          <w:rFonts w:ascii="Candara" w:hAnsi="Candara"/>
        </w:rPr>
        <w:fldChar w:fldCharType="separate"/>
      </w:r>
      <w:r w:rsidRPr="005D10C1">
        <w:rPr>
          <w:rFonts w:ascii="Candara" w:hAnsi="Candara"/>
          <w:noProof/>
        </w:rPr>
        <w:t>(“Observatorio Colombiano de Ciencia y Tecnología,” n.d.)</w:t>
      </w:r>
      <w:r w:rsidR="003B0D24" w:rsidRPr="005D10C1">
        <w:rPr>
          <w:rFonts w:ascii="Candara" w:hAnsi="Candara"/>
        </w:rPr>
        <w:fldChar w:fldCharType="end"/>
      </w:r>
      <w:r w:rsidR="00A96D00" w:rsidRPr="005D10C1">
        <w:rPr>
          <w:rFonts w:ascii="Candara" w:hAnsi="Candara"/>
        </w:rPr>
        <w:t>.</w:t>
      </w:r>
    </w:p>
    <w:p w14:paraId="04FF2FC3" w14:textId="77777777" w:rsidR="009C2BA3" w:rsidRPr="005D10C1" w:rsidRDefault="009C2BA3" w:rsidP="00A96D00">
      <w:pPr>
        <w:spacing w:line="360" w:lineRule="auto"/>
        <w:rPr>
          <w:rFonts w:ascii="Candara" w:hAnsi="Candara"/>
        </w:rPr>
      </w:pPr>
    </w:p>
    <w:p w14:paraId="4CD7F3C7" w14:textId="77777777" w:rsidR="009C2BA3" w:rsidRPr="005D10C1" w:rsidRDefault="0009511F" w:rsidP="00A96D00">
      <w:pPr>
        <w:spacing w:line="360" w:lineRule="auto"/>
        <w:rPr>
          <w:rFonts w:ascii="Candara" w:hAnsi="Candara"/>
          <w:i/>
        </w:rPr>
      </w:pPr>
      <w:r w:rsidRPr="005D10C1">
        <w:rPr>
          <w:rFonts w:ascii="Candara" w:hAnsi="Candara"/>
          <w:i/>
        </w:rPr>
        <w:t>Entidades ejecutoras de I+D</w:t>
      </w:r>
    </w:p>
    <w:p w14:paraId="13AFEC04" w14:textId="77777777" w:rsidR="0009511F" w:rsidRPr="005D10C1" w:rsidRDefault="008616D2" w:rsidP="00A96D00">
      <w:pPr>
        <w:spacing w:line="360" w:lineRule="auto"/>
        <w:rPr>
          <w:rFonts w:ascii="Candara" w:hAnsi="Candara"/>
        </w:rPr>
      </w:pPr>
      <w:r w:rsidRPr="005D10C1">
        <w:rPr>
          <w:rFonts w:ascii="Candara" w:hAnsi="Candara"/>
        </w:rPr>
        <w:t>Uno de los principales ejecutores de actividades de I+D son l</w:t>
      </w:r>
      <w:r w:rsidR="0009511F" w:rsidRPr="005D10C1">
        <w:rPr>
          <w:rFonts w:ascii="Candara" w:hAnsi="Candara"/>
        </w:rPr>
        <w:t>os centros de investigación que hacen parte de la educación superior</w:t>
      </w:r>
      <w:r w:rsidR="00B021C1" w:rsidRPr="005D10C1">
        <w:rPr>
          <w:rFonts w:ascii="Candara" w:hAnsi="Candara"/>
        </w:rPr>
        <w:t xml:space="preserve"> (ya sean universidades públicas o privadas)</w:t>
      </w:r>
      <w:r w:rsidR="0009511F" w:rsidRPr="005D10C1">
        <w:rPr>
          <w:rFonts w:ascii="Candara" w:hAnsi="Candara"/>
        </w:rPr>
        <w:t xml:space="preserve">. También </w:t>
      </w:r>
      <w:r w:rsidR="008D10C7" w:rsidRPr="005D10C1">
        <w:rPr>
          <w:rFonts w:ascii="Candara" w:hAnsi="Candara"/>
        </w:rPr>
        <w:t>entra</w:t>
      </w:r>
      <w:r w:rsidR="0009511F" w:rsidRPr="005D10C1">
        <w:rPr>
          <w:rFonts w:ascii="Candara" w:hAnsi="Candara"/>
        </w:rPr>
        <w:t xml:space="preserve"> en esta categoría otras formas organizacionales que ejecutan la I+D como centros tecnológicos e incubadoras de empresas de base tecnológica.</w:t>
      </w:r>
    </w:p>
    <w:p w14:paraId="5EFE1D4F" w14:textId="77777777" w:rsidR="008D10C7" w:rsidRPr="005D10C1" w:rsidRDefault="008D10C7" w:rsidP="00A96D00">
      <w:pPr>
        <w:spacing w:line="360" w:lineRule="auto"/>
        <w:rPr>
          <w:rFonts w:ascii="Candara" w:hAnsi="Candara"/>
          <w:i/>
        </w:rPr>
      </w:pPr>
    </w:p>
    <w:p w14:paraId="55B740F5" w14:textId="77777777" w:rsidR="0008531A" w:rsidRPr="005D10C1" w:rsidRDefault="0008531A" w:rsidP="00A96D00">
      <w:pPr>
        <w:spacing w:line="360" w:lineRule="auto"/>
        <w:rPr>
          <w:rFonts w:ascii="Candara" w:hAnsi="Candara"/>
          <w:i/>
        </w:rPr>
      </w:pPr>
      <w:r w:rsidRPr="005D10C1">
        <w:rPr>
          <w:rFonts w:ascii="Candara" w:hAnsi="Candara"/>
          <w:i/>
        </w:rPr>
        <w:lastRenderedPageBreak/>
        <w:t>Otros organismos de apoyo al desarrollo científico y tecnológico</w:t>
      </w:r>
    </w:p>
    <w:p w14:paraId="7243C800" w14:textId="77777777" w:rsidR="0008531A" w:rsidRPr="005D10C1" w:rsidRDefault="0008531A" w:rsidP="00A96D00">
      <w:pPr>
        <w:spacing w:line="360" w:lineRule="auto"/>
        <w:rPr>
          <w:rFonts w:ascii="Candara" w:hAnsi="Candara"/>
        </w:rPr>
      </w:pPr>
      <w:r w:rsidRPr="005D10C1">
        <w:rPr>
          <w:rFonts w:ascii="Candara" w:hAnsi="Candara"/>
        </w:rPr>
        <w:t>Sena, Innpulsa, Bancoldex, ACAC, CESU, ICETEX, COLFUTURO, Fondo Nacional de Garantías, Fondo Nacional de Regalías, SIC, Institutos Nacionales como: IGAC, INGEOMINAS, ICA, entre otros.</w:t>
      </w:r>
    </w:p>
    <w:p w14:paraId="2D5C8F67" w14:textId="77777777" w:rsidR="008D10C7" w:rsidRPr="005D10C1" w:rsidRDefault="008D10C7" w:rsidP="00A96D00">
      <w:pPr>
        <w:spacing w:line="360" w:lineRule="auto"/>
        <w:rPr>
          <w:rFonts w:ascii="Candara" w:hAnsi="Candara"/>
        </w:rPr>
      </w:pPr>
    </w:p>
    <w:p w14:paraId="52F62F5E" w14:textId="77777777" w:rsidR="00D404AC" w:rsidRPr="005D10C1" w:rsidRDefault="00D404AC" w:rsidP="00A96D00">
      <w:pPr>
        <w:spacing w:line="360" w:lineRule="auto"/>
        <w:rPr>
          <w:rFonts w:ascii="Candara" w:hAnsi="Candara"/>
        </w:rPr>
      </w:pPr>
    </w:p>
    <w:p w14:paraId="498417E4" w14:textId="77777777" w:rsidR="00D404AC" w:rsidRPr="005D10C1" w:rsidRDefault="00D404AC" w:rsidP="00A96D00">
      <w:pPr>
        <w:spacing w:line="360" w:lineRule="auto"/>
        <w:rPr>
          <w:rFonts w:ascii="Candara" w:hAnsi="Candara"/>
        </w:rPr>
      </w:pPr>
    </w:p>
    <w:p w14:paraId="6B95717F" w14:textId="77777777" w:rsidR="00EA58D4" w:rsidRPr="005D10C1" w:rsidRDefault="00EA58D4" w:rsidP="00EA58D4">
      <w:pPr>
        <w:pStyle w:val="Ttulo2"/>
        <w:rPr>
          <w:rFonts w:ascii="Candara" w:hAnsi="Candara"/>
          <w:color w:val="auto"/>
        </w:rPr>
      </w:pPr>
      <w:bookmarkStart w:id="281" w:name="_Toc377653158"/>
      <w:r w:rsidRPr="005D10C1">
        <w:rPr>
          <w:rFonts w:ascii="Candara" w:hAnsi="Candara"/>
          <w:color w:val="auto"/>
        </w:rPr>
        <w:t>Revisión de literatura nacional</w:t>
      </w:r>
      <w:bookmarkEnd w:id="281"/>
    </w:p>
    <w:p w14:paraId="5F301603" w14:textId="77777777" w:rsidR="00EA58D4" w:rsidRPr="005D10C1" w:rsidRDefault="00EA58D4" w:rsidP="00EA58D4">
      <w:pPr>
        <w:rPr>
          <w:rFonts w:ascii="Candara" w:hAnsi="Candara"/>
        </w:rPr>
      </w:pPr>
    </w:p>
    <w:p w14:paraId="52C95B1D" w14:textId="77777777" w:rsidR="00545E51" w:rsidRPr="005D10C1" w:rsidRDefault="00545E51" w:rsidP="00E60A2B">
      <w:pPr>
        <w:spacing w:line="360" w:lineRule="auto"/>
        <w:rPr>
          <w:rFonts w:ascii="Candara" w:hAnsi="Candara"/>
        </w:rPr>
      </w:pPr>
    </w:p>
    <w:p w14:paraId="11B94234" w14:textId="77777777" w:rsidR="00FB329C" w:rsidRPr="005D10C1" w:rsidRDefault="00FB329C" w:rsidP="00E60A2B">
      <w:pPr>
        <w:spacing w:line="360" w:lineRule="auto"/>
        <w:rPr>
          <w:rFonts w:ascii="Candara" w:hAnsi="Candara"/>
        </w:rPr>
      </w:pPr>
      <w:r w:rsidRPr="005D10C1">
        <w:rPr>
          <w:rFonts w:ascii="Candara" w:hAnsi="Candara"/>
        </w:rPr>
        <w:t>La documentación con respecto a la experiencia de generación de spin-offs en Colombia es muy reducida.  A continuación se presenta el análisis referente a cuatro universidades de las cuales se ha encontrado alguna información sobre el particular, bien sea por documentación de su experiencia o por estudio sobre sus condiciones para la generación de este tipo de empresas.</w:t>
      </w:r>
    </w:p>
    <w:p w14:paraId="0B2D7021" w14:textId="77777777" w:rsidR="00FB329C" w:rsidRPr="005D10C1" w:rsidRDefault="00FB329C" w:rsidP="00E60A2B">
      <w:pPr>
        <w:spacing w:line="360" w:lineRule="auto"/>
        <w:rPr>
          <w:rFonts w:ascii="Candara" w:hAnsi="Candara"/>
        </w:rPr>
      </w:pPr>
    </w:p>
    <w:p w14:paraId="69334E0B" w14:textId="77777777" w:rsidR="003D710B" w:rsidRPr="005D10C1" w:rsidRDefault="003D710B" w:rsidP="00174DF0">
      <w:pPr>
        <w:pStyle w:val="Ttulo3"/>
        <w:rPr>
          <w:rFonts w:ascii="Candara" w:hAnsi="Candara"/>
          <w:i/>
          <w:color w:val="auto"/>
        </w:rPr>
      </w:pPr>
      <w:bookmarkStart w:id="282" w:name="_Toc377653159"/>
      <w:r w:rsidRPr="005D10C1">
        <w:rPr>
          <w:rFonts w:ascii="Candara" w:hAnsi="Candara"/>
          <w:i/>
          <w:color w:val="auto"/>
        </w:rPr>
        <w:t>Universidad de Antioquia</w:t>
      </w:r>
      <w:r w:rsidR="004361D3" w:rsidRPr="005D10C1">
        <w:rPr>
          <w:rFonts w:ascii="Candara" w:hAnsi="Candara"/>
          <w:i/>
          <w:color w:val="auto"/>
        </w:rPr>
        <w:t>- UdeA</w:t>
      </w:r>
      <w:bookmarkEnd w:id="282"/>
    </w:p>
    <w:p w14:paraId="7045F4B4" w14:textId="77777777" w:rsidR="00174DF0" w:rsidRPr="005D10C1" w:rsidRDefault="00174DF0" w:rsidP="00174DF0">
      <w:pPr>
        <w:rPr>
          <w:rFonts w:ascii="Candara" w:hAnsi="Candara"/>
        </w:rPr>
      </w:pPr>
    </w:p>
    <w:p w14:paraId="46C98F22" w14:textId="77777777" w:rsidR="005D506B" w:rsidRPr="005D10C1" w:rsidRDefault="006E1E2B" w:rsidP="00E60A2B">
      <w:pPr>
        <w:spacing w:line="360" w:lineRule="auto"/>
        <w:rPr>
          <w:rFonts w:ascii="Candara" w:hAnsi="Candara"/>
        </w:rPr>
      </w:pPr>
      <w:r w:rsidRPr="005D10C1">
        <w:rPr>
          <w:rFonts w:ascii="Candara" w:hAnsi="Candara"/>
        </w:rPr>
        <w:t xml:space="preserve">Zúñiga (2012) menciona que la literatura </w:t>
      </w:r>
      <w:r w:rsidR="00E60A2B" w:rsidRPr="005D10C1">
        <w:rPr>
          <w:rFonts w:ascii="Candara" w:hAnsi="Candara"/>
        </w:rPr>
        <w:t xml:space="preserve">en </w:t>
      </w:r>
      <w:r w:rsidRPr="005D10C1">
        <w:rPr>
          <w:rFonts w:ascii="Candara" w:hAnsi="Candara"/>
        </w:rPr>
        <w:t>el caso colombiano</w:t>
      </w:r>
      <w:r w:rsidR="00E60A2B" w:rsidRPr="005D10C1">
        <w:rPr>
          <w:rFonts w:ascii="Candara" w:hAnsi="Candara"/>
        </w:rPr>
        <w:t xml:space="preserve"> relacionado con las spin-off es escaso</w:t>
      </w:r>
      <w:r w:rsidRPr="005D10C1">
        <w:rPr>
          <w:rFonts w:ascii="Candara" w:hAnsi="Candara"/>
        </w:rPr>
        <w:t>.</w:t>
      </w:r>
    </w:p>
    <w:p w14:paraId="3D84DB00" w14:textId="77777777" w:rsidR="00B9098A" w:rsidRPr="005D10C1" w:rsidRDefault="00634C17" w:rsidP="00E60A2B">
      <w:pPr>
        <w:spacing w:line="360" w:lineRule="auto"/>
        <w:rPr>
          <w:rFonts w:ascii="Candara" w:hAnsi="Candara"/>
        </w:rPr>
      </w:pPr>
      <w:r w:rsidRPr="005D10C1">
        <w:rPr>
          <w:rFonts w:ascii="Candara" w:hAnsi="Candara"/>
        </w:rPr>
        <w:t>L</w:t>
      </w:r>
      <w:r w:rsidR="00B9098A" w:rsidRPr="005D10C1">
        <w:rPr>
          <w:rFonts w:ascii="Candara" w:hAnsi="Candara"/>
        </w:rPr>
        <w:t>as actividades de transferencia de tecnología</w:t>
      </w:r>
      <w:r w:rsidR="00C1792F" w:rsidRPr="005D10C1">
        <w:rPr>
          <w:rFonts w:ascii="Candara" w:hAnsi="Candara"/>
        </w:rPr>
        <w:t xml:space="preserve"> c</w:t>
      </w:r>
      <w:r w:rsidRPr="005D10C1">
        <w:rPr>
          <w:rFonts w:ascii="Candara" w:hAnsi="Candara"/>
        </w:rPr>
        <w:t>omo un proceso estructurado desde</w:t>
      </w:r>
      <w:r w:rsidR="00B9098A" w:rsidRPr="005D10C1">
        <w:rPr>
          <w:rFonts w:ascii="Candara" w:hAnsi="Candara"/>
        </w:rPr>
        <w:t xml:space="preserve"> las universidades son un fenómeno relativamente reciente.  </w:t>
      </w:r>
      <w:r w:rsidR="00C1792F" w:rsidRPr="005D10C1">
        <w:rPr>
          <w:rFonts w:ascii="Candara" w:hAnsi="Candara"/>
        </w:rPr>
        <w:t>De hecho, l</w:t>
      </w:r>
      <w:r w:rsidRPr="005D10C1">
        <w:rPr>
          <w:rFonts w:ascii="Candara" w:hAnsi="Candara"/>
        </w:rPr>
        <w:t xml:space="preserve">a primera </w:t>
      </w:r>
      <w:r w:rsidR="00B9098A" w:rsidRPr="005D10C1">
        <w:rPr>
          <w:rFonts w:ascii="Candara" w:hAnsi="Candara"/>
        </w:rPr>
        <w:t>Oficina de Transferencia d</w:t>
      </w:r>
      <w:r w:rsidR="00C1792F" w:rsidRPr="005D10C1">
        <w:rPr>
          <w:rFonts w:ascii="Candara" w:hAnsi="Candara"/>
        </w:rPr>
        <w:t>e Tecnología en una universidad</w:t>
      </w:r>
      <w:r w:rsidR="00B9098A" w:rsidRPr="005D10C1">
        <w:rPr>
          <w:rFonts w:ascii="Candara" w:hAnsi="Candara"/>
        </w:rPr>
        <w:t xml:space="preserve"> la estableció la Universidad de Antioquia bajo el nombre de Programa de Gestión Tecnológica</w:t>
      </w:r>
      <w:r w:rsidRPr="005D10C1">
        <w:rPr>
          <w:rFonts w:ascii="Candara" w:hAnsi="Candara"/>
        </w:rPr>
        <w:t xml:space="preserve">, en el año 2002 mediante el acuerdo superior 218 de abril 1 </w:t>
      </w:r>
      <w:r w:rsidR="003B0D24" w:rsidRPr="005D10C1">
        <w:rPr>
          <w:rFonts w:ascii="Candara" w:hAnsi="Candara"/>
        </w:rPr>
        <w:fldChar w:fldCharType="begin" w:fldLock="1"/>
      </w:r>
      <w:r w:rsidR="00CA1A09" w:rsidRPr="005D10C1">
        <w:rPr>
          <w:rFonts w:ascii="Candara" w:hAnsi="Candara"/>
        </w:rPr>
        <w:instrText>ADDIN CSL_CITATION { "citationItems" : [ { "id" : "ITEM-1", "itemData" : { "URL" : "http://www.udea.edu.co/portal/page/portal/Programas/gestionTecnologica/A.institucional/a.quienesSomos", "abstract" : "La Universidad de Antioquia es una instituci\u00f3n Estatal del orden Departamental que desarrolla el servicio p\u00fablico de la Educaci\u00f3n Superior. Es la principal instituci\u00f3n acad\u00e9mica del departamento de Antioquia y la universidad estatal m\u00e1s antigua de Colombia, es una de las mejores universidades del pa\u00eds, por lo que en 2003 recibi\u00f3 la acreditaci\u00f3n institucional del Consejo Nacional de Acreditaci\u00f3n por un lapso de 9 a\u00f1os. Su sede principal est\u00e1 ubicada en la ciudad de Medell\u00edn y cuenta con sedes alternas en otras regiones de Antioquia. Su poblaci\u00f3n estudiantil asciende a 35.968 (2008), siendo la segunda instituci\u00f3n universitaria colombiana con mayor n\u00famero de estudiantes, adem\u00e1s de destacarse en el campo acad\u00e9mico, investigativo y cultural.", "accessed" : { "date-parts" : [ [ "2013", "10", "29" ] ] }, "author" : [ { "dropping-particle" : "", "family" : "Universidad de Antioquia", "given" : "", "non-dropping-particle" : "", "parse-names" : false, "suffix" : "" } ], "id" : "ITEM-1", "issued" : { "date-parts" : [ [ "0" ] ] }, "publisher" : "Universidad de Antioquia - Secretar\u00eda General.", "title" : "Universidad de Antioquia", "type" : "webpage" }, "uris" : [ "http://www.mendeley.com/documents/?uuid=d578525e-84fb-4c5a-ba58-8cb69ebfa247" ] } ], "mendeley" : { "previouslyFormattedCitation" : "(Universidad de Antioquia, n.d.)" }, "properties" : { "noteIndex" : 0 }, "schema" : "https://github.com/citation-style-language/schema/raw/master/csl-citation.json" }</w:instrText>
      </w:r>
      <w:r w:rsidR="003B0D24" w:rsidRPr="005D10C1">
        <w:rPr>
          <w:rFonts w:ascii="Candara" w:hAnsi="Candara"/>
        </w:rPr>
        <w:fldChar w:fldCharType="separate"/>
      </w:r>
      <w:r w:rsidR="006052CF" w:rsidRPr="005D10C1">
        <w:rPr>
          <w:rFonts w:ascii="Candara" w:hAnsi="Candara"/>
          <w:noProof/>
        </w:rPr>
        <w:t>(Universidad de Antioquia, n.d.)</w:t>
      </w:r>
      <w:r w:rsidR="003B0D24" w:rsidRPr="005D10C1">
        <w:rPr>
          <w:rFonts w:ascii="Candara" w:hAnsi="Candara"/>
        </w:rPr>
        <w:fldChar w:fldCharType="end"/>
      </w:r>
      <w:r w:rsidR="00B9098A" w:rsidRPr="005D10C1">
        <w:rPr>
          <w:rFonts w:ascii="Candara" w:hAnsi="Candara"/>
        </w:rPr>
        <w:t>.</w:t>
      </w:r>
    </w:p>
    <w:p w14:paraId="2CD26C10" w14:textId="77777777" w:rsidR="00D130D7" w:rsidRPr="005D10C1" w:rsidRDefault="00D130D7" w:rsidP="00E60A2B">
      <w:pPr>
        <w:spacing w:line="360" w:lineRule="auto"/>
        <w:rPr>
          <w:rFonts w:ascii="Candara" w:hAnsi="Candara" w:cs="Arial"/>
        </w:rPr>
      </w:pPr>
    </w:p>
    <w:p w14:paraId="1F886C38" w14:textId="77777777" w:rsidR="00C35389" w:rsidRPr="005D10C1" w:rsidRDefault="00D130D7" w:rsidP="00E60A2B">
      <w:pPr>
        <w:spacing w:line="360" w:lineRule="auto"/>
        <w:rPr>
          <w:rFonts w:ascii="Candara" w:hAnsi="Candara" w:cs="Arial"/>
        </w:rPr>
      </w:pPr>
      <w:r w:rsidRPr="005D10C1">
        <w:rPr>
          <w:rFonts w:ascii="Candara" w:hAnsi="Candara" w:cs="Arial"/>
        </w:rPr>
        <w:lastRenderedPageBreak/>
        <w:t xml:space="preserve">La Universidad de Antioquia </w:t>
      </w:r>
      <w:r w:rsidR="004361D3" w:rsidRPr="005D10C1">
        <w:rPr>
          <w:rFonts w:ascii="Candara" w:hAnsi="Candara" w:cs="Arial"/>
        </w:rPr>
        <w:t>en ejercicio de</w:t>
      </w:r>
      <w:r w:rsidRPr="005D10C1">
        <w:rPr>
          <w:rFonts w:ascii="Candara" w:hAnsi="Candara" w:cs="Arial"/>
        </w:rPr>
        <w:t xml:space="preserve"> su autonomía </w:t>
      </w:r>
      <w:r w:rsidR="004361D3" w:rsidRPr="005D10C1">
        <w:rPr>
          <w:rFonts w:ascii="Candara" w:hAnsi="Candara" w:cs="Arial"/>
        </w:rPr>
        <w:t>determinó</w:t>
      </w:r>
      <w:r w:rsidRPr="005D10C1">
        <w:rPr>
          <w:rFonts w:ascii="Candara" w:hAnsi="Candara" w:cs="Arial"/>
        </w:rPr>
        <w:t xml:space="preserve"> en </w:t>
      </w:r>
      <w:r w:rsidR="004361D3" w:rsidRPr="005D10C1">
        <w:rPr>
          <w:rFonts w:ascii="Candara" w:hAnsi="Candara" w:cs="Arial"/>
        </w:rPr>
        <w:t>su</w:t>
      </w:r>
      <w:r w:rsidRPr="005D10C1">
        <w:rPr>
          <w:rFonts w:ascii="Candara" w:hAnsi="Candara" w:cs="Arial"/>
        </w:rPr>
        <w:t xml:space="preserve"> estatuto general como uno de sus objetivos </w:t>
      </w:r>
      <w:r w:rsidRPr="005D10C1">
        <w:rPr>
          <w:rFonts w:ascii="Candara" w:hAnsi="Candara" w:cs="Arial"/>
          <w:i/>
        </w:rPr>
        <w:t>“adelantar programas y proyectos orientados a impulsar el desarrollo de un espíritu empresarial con clara conciencia de su responsabilidad social, tanto en el sector público como en el privado</w:t>
      </w:r>
      <w:r w:rsidR="007B1160" w:rsidRPr="005D10C1">
        <w:rPr>
          <w:rFonts w:ascii="Candara" w:hAnsi="Candara" w:cs="Arial"/>
          <w:i/>
        </w:rPr>
        <w:t>”</w:t>
      </w:r>
      <w:r w:rsidR="00DD212E" w:rsidRPr="005D10C1">
        <w:rPr>
          <w:rFonts w:ascii="Candara" w:hAnsi="Candara" w:cs="Arial"/>
          <w:i/>
        </w:rPr>
        <w:t xml:space="preserve"> </w:t>
      </w:r>
      <w:r w:rsidR="003B0D24" w:rsidRPr="005D10C1">
        <w:rPr>
          <w:rFonts w:ascii="Candara" w:hAnsi="Candara" w:cs="Arial"/>
        </w:rPr>
        <w:fldChar w:fldCharType="begin" w:fldLock="1"/>
      </w:r>
      <w:r w:rsidR="00CA1A09" w:rsidRPr="005D10C1">
        <w:rPr>
          <w:rFonts w:ascii="Candara" w:hAnsi="Candara" w:cs="Arial"/>
        </w:rPr>
        <w:instrText>ADDIN CSL_CITATION { "citationItems" : [ { "id" : "ITEM-1", "itemData" : { "author" : [ { "dropping-particle" : "", "family" : "Consejo Superior de La Universidad de Antioquia", "given" : "", "non-dropping-particle" : "", "parse-names" : false, "suffix" : "" } ], "id" : "ITEM-1", "issued" : { "date-parts" : [ [ "2011" ] ] }, "title" : "Acuerdo Superior 1 de 1994. Actualizado en 2011", "type" : "article" }, "uris" : [ "http://www.mendeley.com/documents/?uuid=0bb6aee3-8fe7-41d3-b1a8-1639c19133c3" ] } ], "mendeley" : { "previouslyFormattedCitation" : "(Consejo Superior de La Universidad de Antioquia, 2011)" }, "properties" : { "noteIndex" : 0 }, "schema" : "https://github.com/citation-style-language/schema/raw/master/csl-citation.json" }</w:instrText>
      </w:r>
      <w:r w:rsidR="003B0D24" w:rsidRPr="005D10C1">
        <w:rPr>
          <w:rFonts w:ascii="Candara" w:hAnsi="Candara" w:cs="Arial"/>
        </w:rPr>
        <w:fldChar w:fldCharType="separate"/>
      </w:r>
      <w:r w:rsidR="00665B7A" w:rsidRPr="005D10C1">
        <w:rPr>
          <w:rFonts w:ascii="Candara" w:hAnsi="Candara" w:cs="Arial"/>
          <w:noProof/>
        </w:rPr>
        <w:t>(Consejo Superior de La Universidad de Antioquia, 2011)</w:t>
      </w:r>
      <w:r w:rsidR="003B0D24" w:rsidRPr="005D10C1">
        <w:rPr>
          <w:rFonts w:ascii="Candara" w:hAnsi="Candara" w:cs="Arial"/>
        </w:rPr>
        <w:fldChar w:fldCharType="end"/>
      </w:r>
      <w:r w:rsidRPr="005D10C1">
        <w:rPr>
          <w:rFonts w:ascii="Candara" w:hAnsi="Candara" w:cs="Arial"/>
        </w:rPr>
        <w:t xml:space="preserve">. </w:t>
      </w:r>
      <w:r w:rsidR="007B1160" w:rsidRPr="005D10C1">
        <w:rPr>
          <w:rFonts w:ascii="Candara" w:hAnsi="Candara" w:cs="Arial"/>
        </w:rPr>
        <w:t xml:space="preserve">Dicho objetivo se encuentra alineado con el </w:t>
      </w:r>
      <w:r w:rsidRPr="005D10C1">
        <w:rPr>
          <w:rFonts w:ascii="Candara" w:hAnsi="Candara" w:cs="Arial"/>
        </w:rPr>
        <w:t xml:space="preserve">compromiso e interés en propiciar una cultura emprendedora y la creación de </w:t>
      </w:r>
      <w:r w:rsidR="003B7576" w:rsidRPr="005D10C1">
        <w:rPr>
          <w:rFonts w:ascii="Candara" w:hAnsi="Candara" w:cs="Arial"/>
        </w:rPr>
        <w:t>empresas</w:t>
      </w:r>
      <w:r w:rsidRPr="005D10C1">
        <w:rPr>
          <w:rFonts w:ascii="Candara" w:hAnsi="Candara" w:cs="Arial"/>
          <w:i/>
        </w:rPr>
        <w:t xml:space="preserve">, </w:t>
      </w:r>
      <w:r w:rsidR="007B1160" w:rsidRPr="005D10C1">
        <w:rPr>
          <w:rFonts w:ascii="Candara" w:hAnsi="Candara" w:cs="Arial"/>
        </w:rPr>
        <w:t xml:space="preserve">tal como es </w:t>
      </w:r>
      <w:r w:rsidRPr="005D10C1">
        <w:rPr>
          <w:rFonts w:ascii="Candara" w:hAnsi="Candara" w:cs="Arial"/>
        </w:rPr>
        <w:t>evidenciando en el plan de desarrollo 2006-2016 “Una universidad investigadora, innovadora y humanista, al servicio de las regiones y del país”</w:t>
      </w:r>
      <w:r w:rsidR="00DD212E" w:rsidRPr="005D10C1">
        <w:rPr>
          <w:rFonts w:ascii="Candara" w:hAnsi="Candara" w:cs="Arial"/>
        </w:rPr>
        <w:t xml:space="preserve"> </w:t>
      </w:r>
      <w:r w:rsidR="003B0D24" w:rsidRPr="005D10C1">
        <w:rPr>
          <w:rFonts w:ascii="Candara" w:hAnsi="Candara" w:cs="Arial"/>
        </w:rPr>
        <w:fldChar w:fldCharType="begin" w:fldLock="1"/>
      </w:r>
      <w:r w:rsidR="00CA1A09" w:rsidRPr="005D10C1">
        <w:rPr>
          <w:rFonts w:ascii="Candara" w:hAnsi="Candara" w:cs="Arial"/>
        </w:rPr>
        <w:instrText>ADDIN CSL_CITATION { "citationItems" : [ { "id" : "ITEM-1", "itemData" : { "URL" : "http://www.udea.edu.co/portal/page/portal/BibliotecaPortal/ElementosDiseno/Documentos/General/plan_dllo.pdf", "accessed" : { "date-parts" : [ [ "2012", "10", "23" ] ] }, "id" : "ITEM-1", "issued" : { "date-parts" : [ [ "2006" ] ] }, "page" : "122", "title" : "Plan de Desarrollo Institucional 2006 - 2016", "type" : "webpage" }, "uris" : [ "http://www.mendeley.com/documents/?uuid=d737cbb2-906b-4134-a906-af862325658f" ] } ], "mendeley" : { "previouslyFormattedCitation" : "(\u201cPlan de Desarrollo Institucional 2006 - 2016,\u201d 2006)" }, "properties" : { "noteIndex" : 0 }, "schema" : "https://github.com/citation-style-language/schema/raw/master/csl-citation.json" }</w:instrText>
      </w:r>
      <w:r w:rsidR="003B0D24" w:rsidRPr="005D10C1">
        <w:rPr>
          <w:rFonts w:ascii="Candara" w:hAnsi="Candara" w:cs="Arial"/>
        </w:rPr>
        <w:fldChar w:fldCharType="separate"/>
      </w:r>
      <w:r w:rsidRPr="005D10C1">
        <w:rPr>
          <w:rFonts w:ascii="Candara" w:hAnsi="Candara" w:cs="Arial"/>
          <w:noProof/>
        </w:rPr>
        <w:t>(“Plan de Desarrollo Institucional 2006 - 2016,” 2006)</w:t>
      </w:r>
      <w:r w:rsidR="003B0D24" w:rsidRPr="005D10C1">
        <w:rPr>
          <w:rFonts w:ascii="Candara" w:hAnsi="Candara" w:cs="Arial"/>
        </w:rPr>
        <w:fldChar w:fldCharType="end"/>
      </w:r>
      <w:r w:rsidRPr="005D10C1">
        <w:rPr>
          <w:rFonts w:ascii="Candara" w:hAnsi="Candara" w:cs="Arial"/>
        </w:rPr>
        <w:t xml:space="preserve">. </w:t>
      </w:r>
    </w:p>
    <w:p w14:paraId="4FAC61FB" w14:textId="77777777" w:rsidR="004361D3" w:rsidRPr="005D10C1" w:rsidRDefault="004361D3" w:rsidP="00E60A2B">
      <w:pPr>
        <w:spacing w:line="360" w:lineRule="auto"/>
        <w:rPr>
          <w:rFonts w:ascii="Candara" w:hAnsi="Candara" w:cs="Arial"/>
        </w:rPr>
      </w:pPr>
    </w:p>
    <w:p w14:paraId="2337B885" w14:textId="77777777" w:rsidR="00DD212E" w:rsidRPr="005D10C1" w:rsidRDefault="00DD212E" w:rsidP="00E60A2B">
      <w:pPr>
        <w:spacing w:line="360" w:lineRule="auto"/>
        <w:rPr>
          <w:rFonts w:ascii="Candara" w:hAnsi="Candara" w:cs="Arial"/>
        </w:rPr>
      </w:pPr>
      <w:r w:rsidRPr="005D10C1">
        <w:rPr>
          <w:rFonts w:ascii="Candara" w:hAnsi="Candara" w:cs="Arial"/>
        </w:rPr>
        <w:t xml:space="preserve">A su vez, </w:t>
      </w:r>
      <w:r w:rsidR="00446348" w:rsidRPr="005D10C1">
        <w:rPr>
          <w:rFonts w:ascii="Candara" w:hAnsi="Candara" w:cs="Arial"/>
        </w:rPr>
        <w:t xml:space="preserve">la Universidad de Antioquia </w:t>
      </w:r>
      <w:r w:rsidRPr="005D10C1">
        <w:rPr>
          <w:rFonts w:ascii="Candara" w:hAnsi="Candara" w:cs="Arial"/>
        </w:rPr>
        <w:t>posee el estatuto de propiedad intelectual</w:t>
      </w:r>
      <w:r w:rsidR="00BC784E" w:rsidRPr="005D10C1">
        <w:rPr>
          <w:rFonts w:ascii="Candara" w:hAnsi="Candara" w:cs="Arial"/>
        </w:rPr>
        <w:t xml:space="preserve"> </w:t>
      </w:r>
      <w:r w:rsidR="004E235C" w:rsidRPr="005D10C1">
        <w:rPr>
          <w:rFonts w:ascii="Candara" w:hAnsi="Candara" w:cs="Arial"/>
        </w:rPr>
        <w:t xml:space="preserve">en </w:t>
      </w:r>
      <w:r w:rsidR="00446348" w:rsidRPr="005D10C1">
        <w:rPr>
          <w:rFonts w:ascii="Candara" w:hAnsi="Candara" w:cs="Arial"/>
        </w:rPr>
        <w:t xml:space="preserve">el cual </w:t>
      </w:r>
      <w:r w:rsidR="005D206D" w:rsidRPr="005D10C1">
        <w:rPr>
          <w:rFonts w:ascii="Candara" w:hAnsi="Candara" w:cs="Arial"/>
        </w:rPr>
        <w:t>la u</w:t>
      </w:r>
      <w:r w:rsidR="004E235C" w:rsidRPr="005D10C1">
        <w:rPr>
          <w:rFonts w:ascii="Candara" w:hAnsi="Candara" w:cs="Arial"/>
        </w:rPr>
        <w:t xml:space="preserve">niversidad </w:t>
      </w:r>
      <w:r w:rsidR="00446348" w:rsidRPr="005D10C1">
        <w:rPr>
          <w:rFonts w:ascii="Candara" w:hAnsi="Candara" w:cs="Arial"/>
        </w:rPr>
        <w:t xml:space="preserve">dispone </w:t>
      </w:r>
      <w:r w:rsidR="004E235C" w:rsidRPr="005D10C1">
        <w:rPr>
          <w:rFonts w:ascii="Candara" w:hAnsi="Candara" w:cs="Arial"/>
        </w:rPr>
        <w:t xml:space="preserve">de </w:t>
      </w:r>
      <w:r w:rsidR="00446348" w:rsidRPr="005D10C1">
        <w:rPr>
          <w:rFonts w:ascii="Candara" w:hAnsi="Candara" w:cs="Arial"/>
        </w:rPr>
        <w:t>los derechos patrimoniales sobre las obras creadas por los docentes y servidores de la Universidad en cumplimiento de las obligaciones constitucionales, legales y estatutarias.</w:t>
      </w:r>
      <w:r w:rsidR="004E235C" w:rsidRPr="005D10C1">
        <w:rPr>
          <w:rFonts w:ascii="Candara" w:hAnsi="Candara" w:cs="Arial"/>
        </w:rPr>
        <w:t xml:space="preserve"> </w:t>
      </w:r>
      <w:r w:rsidR="008A7BEB" w:rsidRPr="005D10C1">
        <w:rPr>
          <w:rFonts w:ascii="Candara" w:hAnsi="Candara" w:cs="Arial"/>
        </w:rPr>
        <w:t>De igual manera</w:t>
      </w:r>
      <w:r w:rsidR="004E235C" w:rsidRPr="005D10C1">
        <w:rPr>
          <w:rFonts w:ascii="Candara" w:hAnsi="Candara" w:cs="Arial"/>
        </w:rPr>
        <w:t xml:space="preserve"> </w:t>
      </w:r>
      <w:r w:rsidR="00C72DDE" w:rsidRPr="005D10C1">
        <w:rPr>
          <w:rFonts w:ascii="Candara" w:hAnsi="Candara" w:cs="Arial"/>
        </w:rPr>
        <w:t>establece que cuando la universidad licencie, transfiera o explote comercialmente su propiedad intelectual (derechos de propiedad industrial, derecho de autor y obtención de variedades vegetal) reconocerá, con participación económica en los beneficios netos de la comercialización o del licenciamiento de las patentes o registros, a los autores, inventores o diseñadores que hayan realizado aportes importantes al desarrollo u obtención del producto, detentando su condición de profesores, estudiantes, o servidores de la Institución</w:t>
      </w:r>
      <w:r w:rsidR="005D206D" w:rsidRPr="005D10C1">
        <w:rPr>
          <w:rFonts w:ascii="Candara" w:hAnsi="Candara" w:cs="Arial"/>
        </w:rPr>
        <w:t xml:space="preserve"> </w:t>
      </w:r>
      <w:r w:rsidR="003B0D24" w:rsidRPr="005D10C1">
        <w:rPr>
          <w:rFonts w:ascii="Candara" w:hAnsi="Candara" w:cs="Arial"/>
        </w:rPr>
        <w:fldChar w:fldCharType="begin" w:fldLock="1"/>
      </w:r>
      <w:r w:rsidR="00CA1A09" w:rsidRPr="005D10C1">
        <w:rPr>
          <w:rFonts w:ascii="Candara" w:hAnsi="Candara" w:cs="Arial"/>
        </w:rPr>
        <w:instrText>ADDIN CSL_CITATION { "citationItems" : [ { "id" : "ITEM-1", "itemData" : { "author" : [ { "dropping-particle" : "", "family" : "Universidad de Antioquia", "given" : "", "non-dropping-particle" : "", "parse-names" : false, "suffix" : "" } ], "id" : "ITEM-1", "issued" : { "date-parts" : [ [ "2005" ] ] }, "title" : "Estatuto sobre la propiedad intelectual", "type" : "article-journal" }, "uris" : [ "http://www.mendeley.com/documents/?uuid=0f71e748-e6ef-4794-83dd-4c6137e951c3" ] } ], "mendeley" : { "previouslyFormattedCitation" : "(Universidad de Antioquia, 2005)" }, "properties" : { "noteIndex" : 0 }, "schema" : "https://github.com/citation-style-language/schema/raw/master/csl-citation.json" }</w:instrText>
      </w:r>
      <w:r w:rsidR="003B0D24" w:rsidRPr="005D10C1">
        <w:rPr>
          <w:rFonts w:ascii="Candara" w:hAnsi="Candara" w:cs="Arial"/>
        </w:rPr>
        <w:fldChar w:fldCharType="separate"/>
      </w:r>
      <w:r w:rsidR="005D206D" w:rsidRPr="005D10C1">
        <w:rPr>
          <w:rFonts w:ascii="Candara" w:hAnsi="Candara" w:cs="Arial"/>
          <w:noProof/>
        </w:rPr>
        <w:t>(Universidad de Antioquia, 2005)</w:t>
      </w:r>
      <w:r w:rsidR="003B0D24" w:rsidRPr="005D10C1">
        <w:rPr>
          <w:rFonts w:ascii="Candara" w:hAnsi="Candara" w:cs="Arial"/>
        </w:rPr>
        <w:fldChar w:fldCharType="end"/>
      </w:r>
      <w:r w:rsidR="00C72DDE" w:rsidRPr="005D10C1">
        <w:rPr>
          <w:rFonts w:ascii="Candara" w:hAnsi="Candara" w:cs="Arial"/>
        </w:rPr>
        <w:t>.</w:t>
      </w:r>
      <w:r w:rsidR="000F40F7" w:rsidRPr="005D10C1">
        <w:rPr>
          <w:rFonts w:ascii="Candara" w:hAnsi="Candara" w:cs="Arial"/>
        </w:rPr>
        <w:t xml:space="preserve"> Lo anterior estimula a los investigadores </w:t>
      </w:r>
      <w:r w:rsidR="003E2CF4" w:rsidRPr="005D10C1">
        <w:rPr>
          <w:rFonts w:ascii="Candara" w:hAnsi="Candara" w:cs="Arial"/>
        </w:rPr>
        <w:t>para que sean partícipes y</w:t>
      </w:r>
      <w:r w:rsidR="000F40F7" w:rsidRPr="005D10C1">
        <w:rPr>
          <w:rFonts w:ascii="Candara" w:hAnsi="Candara" w:cs="Arial"/>
        </w:rPr>
        <w:t xml:space="preserve"> beneficiarios de los procesos de transferencia de tecnologías desarrolladas por éstos.</w:t>
      </w:r>
    </w:p>
    <w:p w14:paraId="2BAE9418" w14:textId="77777777" w:rsidR="00446348" w:rsidRPr="005D10C1" w:rsidRDefault="00446348" w:rsidP="00E60A2B">
      <w:pPr>
        <w:spacing w:line="360" w:lineRule="auto"/>
        <w:rPr>
          <w:rFonts w:ascii="Candara" w:hAnsi="Candara" w:cs="Arial"/>
        </w:rPr>
      </w:pPr>
    </w:p>
    <w:p w14:paraId="63742506" w14:textId="77777777" w:rsidR="004361D3" w:rsidRPr="005D10C1" w:rsidRDefault="004361D3" w:rsidP="00E60A2B">
      <w:pPr>
        <w:spacing w:line="360" w:lineRule="auto"/>
        <w:rPr>
          <w:rFonts w:ascii="Candara" w:hAnsi="Candara" w:cs="Arial"/>
        </w:rPr>
      </w:pPr>
      <w:r w:rsidRPr="005D10C1">
        <w:rPr>
          <w:rFonts w:ascii="Candara" w:hAnsi="Candara" w:cs="Arial"/>
        </w:rPr>
        <w:t xml:space="preserve">Particularmente en </w:t>
      </w:r>
      <w:r w:rsidR="003E2CF4" w:rsidRPr="005D10C1">
        <w:rPr>
          <w:rFonts w:ascii="Candara" w:hAnsi="Candara" w:cs="Arial"/>
        </w:rPr>
        <w:t xml:space="preserve">la creación de </w:t>
      </w:r>
      <w:r w:rsidRPr="005D10C1">
        <w:rPr>
          <w:rFonts w:ascii="Candara" w:hAnsi="Candara" w:cs="Arial"/>
        </w:rPr>
        <w:t xml:space="preserve">empresas tipo spin-off, la universidad propone la creación de tres empresas en el periodo 2006-2016. En 2013 la Universidad </w:t>
      </w:r>
      <w:r w:rsidR="003E2CF4" w:rsidRPr="005D10C1">
        <w:rPr>
          <w:rFonts w:ascii="Candara" w:hAnsi="Candara" w:cs="Arial"/>
        </w:rPr>
        <w:t xml:space="preserve">alcanzó </w:t>
      </w:r>
      <w:r w:rsidRPr="005D10C1">
        <w:rPr>
          <w:rFonts w:ascii="Candara" w:hAnsi="Candara" w:cs="Arial"/>
        </w:rPr>
        <w:t xml:space="preserve">este objetivo, entendiendo las spin-off como empresas que surgen de los resultados de </w:t>
      </w:r>
      <w:r w:rsidRPr="005D10C1">
        <w:rPr>
          <w:rFonts w:ascii="Candara" w:hAnsi="Candara" w:cs="Arial"/>
        </w:rPr>
        <w:lastRenderedPageBreak/>
        <w:t xml:space="preserve">investigación universitaria. </w:t>
      </w:r>
      <w:r w:rsidR="003E2CF4" w:rsidRPr="005D10C1">
        <w:rPr>
          <w:rFonts w:ascii="Candara" w:hAnsi="Candara" w:cs="Arial"/>
        </w:rPr>
        <w:t xml:space="preserve">Estas </w:t>
      </w:r>
      <w:r w:rsidRPr="005D10C1">
        <w:rPr>
          <w:rFonts w:ascii="Candara" w:hAnsi="Candara" w:cs="Arial"/>
        </w:rPr>
        <w:t xml:space="preserve">tres empresas creadas son: </w:t>
      </w:r>
      <w:r w:rsidR="003E2CF4" w:rsidRPr="005D10C1">
        <w:rPr>
          <w:rFonts w:ascii="Candara" w:hAnsi="Candara" w:cs="Arial"/>
        </w:rPr>
        <w:t>Conocimientos y Servicios de Ingeniería (</w:t>
      </w:r>
      <w:r w:rsidRPr="005D10C1">
        <w:rPr>
          <w:rFonts w:ascii="Candara" w:hAnsi="Candara" w:cs="Arial"/>
        </w:rPr>
        <w:t>CONOSER</w:t>
      </w:r>
      <w:r w:rsidR="003E2CF4" w:rsidRPr="005D10C1">
        <w:rPr>
          <w:rFonts w:ascii="Candara" w:hAnsi="Candara" w:cs="Arial"/>
        </w:rPr>
        <w:t>)</w:t>
      </w:r>
      <w:r w:rsidRPr="005D10C1">
        <w:rPr>
          <w:rFonts w:ascii="Candara" w:hAnsi="Candara" w:cs="Arial"/>
        </w:rPr>
        <w:t xml:space="preserve">; </w:t>
      </w:r>
      <w:r w:rsidR="0007205D" w:rsidRPr="005D10C1">
        <w:rPr>
          <w:rFonts w:ascii="Candara" w:hAnsi="Candara" w:cs="Arial"/>
        </w:rPr>
        <w:t>N</w:t>
      </w:r>
      <w:r w:rsidRPr="005D10C1">
        <w:rPr>
          <w:rFonts w:ascii="Candara" w:hAnsi="Candara" w:cs="Arial"/>
        </w:rPr>
        <w:t>EXENTIA, Y BIOINNCO.</w:t>
      </w:r>
    </w:p>
    <w:p w14:paraId="79BD3BE1" w14:textId="77777777" w:rsidR="00750860" w:rsidRPr="005D10C1" w:rsidRDefault="00750860" w:rsidP="00E60A2B">
      <w:pPr>
        <w:spacing w:line="360" w:lineRule="auto"/>
        <w:rPr>
          <w:rFonts w:ascii="Candara" w:hAnsi="Candara"/>
        </w:rPr>
      </w:pPr>
    </w:p>
    <w:p w14:paraId="6BAF2BBC" w14:textId="77777777" w:rsidR="003E2CF4" w:rsidRPr="005D10C1" w:rsidRDefault="003E2CF4" w:rsidP="00174DF0">
      <w:pPr>
        <w:pStyle w:val="Ttulo4"/>
        <w:rPr>
          <w:rFonts w:ascii="Candara" w:hAnsi="Candara"/>
          <w:color w:val="auto"/>
        </w:rPr>
      </w:pPr>
      <w:r w:rsidRPr="005D10C1">
        <w:rPr>
          <w:rFonts w:ascii="Candara" w:hAnsi="Candara"/>
          <w:color w:val="auto"/>
        </w:rPr>
        <w:t>Conocimientos y Servicios de Ingeniería (CONOSER)</w:t>
      </w:r>
    </w:p>
    <w:p w14:paraId="3A2DB505" w14:textId="77777777" w:rsidR="00174DF0" w:rsidRPr="005D10C1" w:rsidRDefault="00174DF0" w:rsidP="00174DF0">
      <w:pPr>
        <w:rPr>
          <w:rFonts w:ascii="Candara" w:hAnsi="Candara"/>
        </w:rPr>
      </w:pPr>
    </w:p>
    <w:p w14:paraId="0686660C" w14:textId="77777777" w:rsidR="00750860" w:rsidRPr="005D10C1" w:rsidRDefault="00750860" w:rsidP="00E60A2B">
      <w:pPr>
        <w:spacing w:line="360" w:lineRule="auto"/>
        <w:rPr>
          <w:rFonts w:ascii="Candara" w:hAnsi="Candara" w:cs="Arial"/>
        </w:rPr>
      </w:pPr>
      <w:r w:rsidRPr="005D10C1">
        <w:rPr>
          <w:rFonts w:ascii="Candara" w:hAnsi="Candara" w:cs="Arial"/>
        </w:rPr>
        <w:t xml:space="preserve">En 2010 ocurre un hito en tema de transferencia de tecnología porque por primera vez una universidad pública </w:t>
      </w:r>
      <w:r w:rsidR="0043024D" w:rsidRPr="005D10C1">
        <w:rPr>
          <w:rFonts w:ascii="Candara" w:hAnsi="Candara" w:cs="Arial"/>
        </w:rPr>
        <w:t xml:space="preserve">colombiana </w:t>
      </w:r>
      <w:r w:rsidRPr="005D10C1">
        <w:rPr>
          <w:rFonts w:ascii="Candara" w:hAnsi="Candara" w:cs="Arial"/>
        </w:rPr>
        <w:t xml:space="preserve">crea una spin-off académica; esto se generó mediante resolución superior 1609 de 2010 </w:t>
      </w:r>
      <w:r w:rsidR="004361D3" w:rsidRPr="005D10C1">
        <w:rPr>
          <w:rFonts w:ascii="Candara" w:hAnsi="Candara" w:cs="Arial"/>
        </w:rPr>
        <w:t xml:space="preserve">del Consejo Superior de la UdeA con la </w:t>
      </w:r>
      <w:r w:rsidRPr="005D10C1">
        <w:rPr>
          <w:rFonts w:ascii="Candara" w:hAnsi="Candara" w:cs="Arial"/>
        </w:rPr>
        <w:t xml:space="preserve">que </w:t>
      </w:r>
      <w:r w:rsidR="004361D3" w:rsidRPr="005D10C1">
        <w:rPr>
          <w:rFonts w:ascii="Candara" w:hAnsi="Candara" w:cs="Arial"/>
        </w:rPr>
        <w:t>se ordena</w:t>
      </w:r>
      <w:r w:rsidRPr="005D10C1">
        <w:rPr>
          <w:rFonts w:ascii="Candara" w:hAnsi="Candara" w:cs="Arial"/>
        </w:rPr>
        <w:t xml:space="preserve"> la constitución de la sociedad CONOSER</w:t>
      </w:r>
      <w:r w:rsidR="004361D3" w:rsidRPr="005D10C1">
        <w:rPr>
          <w:rFonts w:ascii="Candara" w:hAnsi="Candara" w:cs="Arial"/>
        </w:rPr>
        <w:t xml:space="preserve"> y </w:t>
      </w:r>
      <w:r w:rsidRPr="005D10C1">
        <w:rPr>
          <w:rFonts w:ascii="Candara" w:hAnsi="Candara" w:cs="Arial"/>
        </w:rPr>
        <w:t>crea una comisión asesora del Consejo Superior Universitario encargada de analizar la evaluación técnica, financiera y comercial de la sociedad y elaborar los estatutos.  Adicional</w:t>
      </w:r>
      <w:r w:rsidR="004361D3" w:rsidRPr="005D10C1">
        <w:rPr>
          <w:rFonts w:ascii="Candara" w:hAnsi="Candara" w:cs="Arial"/>
        </w:rPr>
        <w:t>mente, en esta resolución</w:t>
      </w:r>
      <w:r w:rsidRPr="005D10C1">
        <w:rPr>
          <w:rFonts w:ascii="Candara" w:hAnsi="Candara" w:cs="Arial"/>
        </w:rPr>
        <w:t xml:space="preserve"> se autoriza la participación de la Universidad de Antioquia </w:t>
      </w:r>
      <w:r w:rsidR="001E3F9D" w:rsidRPr="005D10C1">
        <w:rPr>
          <w:rFonts w:ascii="Candara" w:hAnsi="Candara" w:cs="Arial"/>
        </w:rPr>
        <w:t xml:space="preserve"> en dicha</w:t>
      </w:r>
      <w:r w:rsidRPr="005D10C1">
        <w:rPr>
          <w:rFonts w:ascii="Candara" w:hAnsi="Candara" w:cs="Arial"/>
        </w:rPr>
        <w:t xml:space="preserve"> soc</w:t>
      </w:r>
      <w:r w:rsidR="004361D3" w:rsidRPr="005D10C1">
        <w:rPr>
          <w:rFonts w:ascii="Candara" w:hAnsi="Candara" w:cs="Arial"/>
        </w:rPr>
        <w:t>iedad por acciones simplificada</w:t>
      </w:r>
      <w:r w:rsidRPr="005D10C1">
        <w:rPr>
          <w:rFonts w:ascii="Candara" w:hAnsi="Candara" w:cs="Arial"/>
        </w:rPr>
        <w:t xml:space="preserve"> y se define el porcentaje accionario</w:t>
      </w:r>
      <w:r w:rsidR="001E3F9D" w:rsidRPr="005D10C1">
        <w:rPr>
          <w:rFonts w:ascii="Candara" w:hAnsi="Candara" w:cs="Arial"/>
        </w:rPr>
        <w:t xml:space="preserve"> </w:t>
      </w:r>
      <w:r w:rsidR="003B0D24" w:rsidRPr="005D10C1">
        <w:rPr>
          <w:rFonts w:ascii="Candara" w:hAnsi="Candara" w:cs="Arial"/>
        </w:rPr>
        <w:fldChar w:fldCharType="begin" w:fldLock="1"/>
      </w:r>
      <w:r w:rsidR="00CA1A09" w:rsidRPr="005D10C1">
        <w:rPr>
          <w:rFonts w:ascii="Candara" w:hAnsi="Candara" w:cs="Arial"/>
        </w:rPr>
        <w:instrText>ADDIN CSL_CITATION { "citationItems" : [ { "id" : "ITEM-1", "itemData" : { "URL" : "http://secretariageneral.udea.edu.co/doc/r1609-2010.pdf", "accessed" : { "date-parts" : [ [ "2012", "10", "23" ] ] }, "id" : "ITEM-1", "issued" : { "date-parts" : [ [ "2010" ] ] }, "title" : "Resoluci\u00f3n Superior 1609", "type" : "webpage" }, "uris" : [ "http://www.mendeley.com/documents/?uuid=64988826-2645-4e6a-8372-6fe358d28afe" ] } ], "mendeley" : { "previouslyFormattedCitation" : "(\u201cResoluci\u00f3n Superior 1609,\u201d 2010)" }, "properties" : { "noteIndex" : 0 }, "schema" : "https://github.com/citation-style-language/schema/raw/master/csl-citation.json" }</w:instrText>
      </w:r>
      <w:r w:rsidR="003B0D24" w:rsidRPr="005D10C1">
        <w:rPr>
          <w:rFonts w:ascii="Candara" w:hAnsi="Candara" w:cs="Arial"/>
        </w:rPr>
        <w:fldChar w:fldCharType="separate"/>
      </w:r>
      <w:r w:rsidR="001E3F9D" w:rsidRPr="005D10C1">
        <w:rPr>
          <w:rFonts w:ascii="Candara" w:hAnsi="Candara" w:cs="Arial"/>
          <w:noProof/>
        </w:rPr>
        <w:t>(“Resolución Superior 1609,” 2010)</w:t>
      </w:r>
      <w:r w:rsidR="003B0D24" w:rsidRPr="005D10C1">
        <w:rPr>
          <w:rFonts w:ascii="Candara" w:hAnsi="Candara" w:cs="Arial"/>
        </w:rPr>
        <w:fldChar w:fldCharType="end"/>
      </w:r>
      <w:r w:rsidR="001E3F9D" w:rsidRPr="005D10C1">
        <w:rPr>
          <w:rFonts w:ascii="Candara" w:hAnsi="Candara" w:cs="Arial"/>
        </w:rPr>
        <w:t>. Posteriormente</w:t>
      </w:r>
      <w:r w:rsidRPr="005D10C1">
        <w:rPr>
          <w:rFonts w:ascii="Candara" w:hAnsi="Candara" w:cs="Arial"/>
        </w:rPr>
        <w:t xml:space="preserve"> se crea la empresa o formaliza, </w:t>
      </w:r>
      <w:r w:rsidR="001E3F9D" w:rsidRPr="005D10C1">
        <w:rPr>
          <w:rFonts w:ascii="Candara" w:hAnsi="Candara" w:cs="Arial"/>
        </w:rPr>
        <w:t xml:space="preserve">y </w:t>
      </w:r>
      <w:r w:rsidRPr="005D10C1">
        <w:rPr>
          <w:rFonts w:ascii="Candara" w:hAnsi="Candara" w:cs="Arial"/>
        </w:rPr>
        <w:t>mediante otros documentos particulares se designan los representantes ante la junta directiva y la asamblea de socios.</w:t>
      </w:r>
    </w:p>
    <w:p w14:paraId="6D059D0B" w14:textId="77777777" w:rsidR="001E3F9D" w:rsidRPr="005D10C1" w:rsidRDefault="001E3F9D" w:rsidP="00E60A2B">
      <w:pPr>
        <w:spacing w:line="360" w:lineRule="auto"/>
        <w:rPr>
          <w:rFonts w:ascii="Candara" w:hAnsi="Candara" w:cs="Arial"/>
        </w:rPr>
      </w:pPr>
    </w:p>
    <w:p w14:paraId="0B66A22A" w14:textId="77777777" w:rsidR="001E3F9D" w:rsidRPr="005D10C1" w:rsidRDefault="00BD0B62" w:rsidP="00174DF0">
      <w:pPr>
        <w:spacing w:line="360" w:lineRule="auto"/>
        <w:rPr>
          <w:rFonts w:ascii="Candara" w:hAnsi="Candara" w:cs="Arial"/>
        </w:rPr>
      </w:pPr>
      <w:r w:rsidRPr="005D10C1">
        <w:rPr>
          <w:rFonts w:ascii="Candara" w:hAnsi="Candara" w:cs="Arial"/>
        </w:rPr>
        <w:t>Conocimiento y Servicios de Ingeniería (Conoser), es una empresa de consultoría que conduce los sistemas eléctricos de sus clientes a altos niveles de seguridad, confiabilidad y eficiencia energética. Aplican el conocimiento de sus colaboradores al manejo de corrientes potencialmente peligrosas, la limitación de sobretensiones por perturbaciones externas y el diseño de programas de uso racional y eficiente de la energía (URE) en las instalaciones de sus clientes</w:t>
      </w:r>
      <w:r w:rsidR="00174DF0" w:rsidRPr="005D10C1">
        <w:rPr>
          <w:rFonts w:ascii="Candara" w:hAnsi="Candara" w:cs="Arial"/>
        </w:rPr>
        <w:t xml:space="preserve"> </w:t>
      </w:r>
      <w:r w:rsidR="003B0D24" w:rsidRPr="005D10C1">
        <w:rPr>
          <w:rFonts w:ascii="Candara" w:hAnsi="Candara" w:cs="Arial"/>
        </w:rPr>
        <w:fldChar w:fldCharType="begin" w:fldLock="1"/>
      </w:r>
      <w:r w:rsidR="00CA1A09" w:rsidRPr="005D10C1">
        <w:rPr>
          <w:rFonts w:ascii="Candara" w:hAnsi="Candara" w:cs="Arial"/>
        </w:rPr>
        <w:instrText>ADDIN CSL_CITATION { "citationItems" : [ { "id" : "ITEM-1", "itemData" : { "URL" : "http://www.conoser.co", "author" : [ { "dropping-particle" : "", "family" : "Conoser", "given" : "", "non-dropping-particle" : "", "parse-names" : false, "suffix" : "" } ], "id" : "ITEM-1", "issued" : { "date-parts" : [ [ "2013" ] ] }, "title" : "Conoser", "type" : "webpage" }, "uris" : [ "http://www.mendeley.com/documents/?uuid=637c6699-9b77-4dd0-9fe7-d0a6a8539cdd" ] } ], "mendeley" : { "previouslyFormattedCitation" : "(Conoser, 2013)" }, "properties" : { "noteIndex" : 0 }, "schema" : "https://github.com/citation-style-language/schema/raw/master/csl-citation.json" }</w:instrText>
      </w:r>
      <w:r w:rsidR="003B0D24" w:rsidRPr="005D10C1">
        <w:rPr>
          <w:rFonts w:ascii="Candara" w:hAnsi="Candara" w:cs="Arial"/>
        </w:rPr>
        <w:fldChar w:fldCharType="separate"/>
      </w:r>
      <w:r w:rsidR="00174DF0" w:rsidRPr="005D10C1">
        <w:rPr>
          <w:rFonts w:ascii="Candara" w:hAnsi="Candara" w:cs="Arial"/>
          <w:noProof/>
        </w:rPr>
        <w:t>(Conoser, 2013)</w:t>
      </w:r>
      <w:r w:rsidR="003B0D24" w:rsidRPr="005D10C1">
        <w:rPr>
          <w:rFonts w:ascii="Candara" w:hAnsi="Candara" w:cs="Arial"/>
        </w:rPr>
        <w:fldChar w:fldCharType="end"/>
      </w:r>
      <w:r w:rsidR="00174DF0" w:rsidRPr="005D10C1">
        <w:rPr>
          <w:rFonts w:ascii="Candara" w:hAnsi="Candara" w:cs="Arial"/>
        </w:rPr>
        <w:t>. Esta compañía se derivó de los los grupos de investigación G</w:t>
      </w:r>
      <w:r w:rsidRPr="005D10C1">
        <w:rPr>
          <w:rFonts w:ascii="Candara" w:hAnsi="Candara" w:cs="Arial"/>
        </w:rPr>
        <w:t>IMEL (Grupo de Manejo Eficiente de la Energía) y MicroE (Grupo de microelectrónica y control)</w:t>
      </w:r>
      <w:r w:rsidR="00174DF0" w:rsidRPr="005D10C1">
        <w:rPr>
          <w:rFonts w:ascii="Candara" w:hAnsi="Candara" w:cs="Arial"/>
        </w:rPr>
        <w:t xml:space="preserve"> </w:t>
      </w:r>
      <w:r w:rsidR="003B0D24" w:rsidRPr="005D10C1">
        <w:rPr>
          <w:rFonts w:ascii="Candara" w:hAnsi="Candara" w:cs="Arial"/>
        </w:rPr>
        <w:fldChar w:fldCharType="begin" w:fldLock="1"/>
      </w:r>
      <w:r w:rsidR="00CA1A09" w:rsidRPr="005D10C1">
        <w:rPr>
          <w:rFonts w:ascii="Candara" w:hAnsi="Candara" w:cs="Arial"/>
        </w:rPr>
        <w:instrText>ADDIN CSL_CITATION { "citationItems" : [ { "id" : "ITEM-1", "itemData" : { "author" : [ { "dropping-particle" : "", "family" : "Ospina", "given" : "N\u00e9stor", "non-dropping-particle" : "", "parse-names" : false, "suffix" : "" } ], "id" : "ITEM-1", "issued" : { "date-parts" : [ [ "2012" ] ] }, "publisher" : "Universidad Nacional de Colombia", "title" : "\u00c9xitos y fracasos en las spin-off acad\u00e9micas", "type" : "thesis" }, "uris" : [ "http://www.mendeley.com/documents/?uuid=b7d02555-8ca4-4bf4-8e8b-bb597e2576ad" ] } ], "mendeley" : { "previouslyFormattedCitation" : "(Ospina, 2012)" }, "properties" : { "noteIndex" : 0 }, "schema" : "https://github.com/citation-style-language/schema/raw/master/csl-citation.json" }</w:instrText>
      </w:r>
      <w:r w:rsidR="003B0D24" w:rsidRPr="005D10C1">
        <w:rPr>
          <w:rFonts w:ascii="Candara" w:hAnsi="Candara" w:cs="Arial"/>
        </w:rPr>
        <w:fldChar w:fldCharType="separate"/>
      </w:r>
      <w:r w:rsidR="00174DF0" w:rsidRPr="005D10C1">
        <w:rPr>
          <w:rFonts w:ascii="Candara" w:hAnsi="Candara" w:cs="Arial"/>
          <w:noProof/>
        </w:rPr>
        <w:t>(Ospina, 2012)</w:t>
      </w:r>
      <w:r w:rsidR="003B0D24" w:rsidRPr="005D10C1">
        <w:rPr>
          <w:rFonts w:ascii="Candara" w:hAnsi="Candara" w:cs="Arial"/>
        </w:rPr>
        <w:fldChar w:fldCharType="end"/>
      </w:r>
      <w:r w:rsidRPr="005D10C1">
        <w:rPr>
          <w:rFonts w:ascii="Candara" w:hAnsi="Candara" w:cs="Arial"/>
        </w:rPr>
        <w:t>.</w:t>
      </w:r>
    </w:p>
    <w:p w14:paraId="7B67DFC6" w14:textId="77777777" w:rsidR="001E3F9D" w:rsidRPr="005D10C1" w:rsidRDefault="001E3F9D" w:rsidP="00E60A2B">
      <w:pPr>
        <w:spacing w:line="360" w:lineRule="auto"/>
        <w:rPr>
          <w:rFonts w:ascii="Candara" w:hAnsi="Candara"/>
        </w:rPr>
      </w:pPr>
    </w:p>
    <w:p w14:paraId="5B00A9D0" w14:textId="77777777" w:rsidR="000640F4" w:rsidRPr="005D10C1" w:rsidRDefault="000640F4" w:rsidP="00E60A2B">
      <w:pPr>
        <w:spacing w:line="360" w:lineRule="auto"/>
        <w:rPr>
          <w:rFonts w:ascii="Candara" w:hAnsi="Candara"/>
        </w:rPr>
      </w:pPr>
      <w:r w:rsidRPr="005D10C1">
        <w:rPr>
          <w:rFonts w:ascii="Candara" w:hAnsi="Candara"/>
        </w:rPr>
        <w:lastRenderedPageBreak/>
        <w:t xml:space="preserve">Zuñiga (2012) </w:t>
      </w:r>
      <w:r w:rsidR="00341CDF" w:rsidRPr="005D10C1">
        <w:rPr>
          <w:rFonts w:ascii="Candara" w:hAnsi="Candara"/>
        </w:rPr>
        <w:t xml:space="preserve">en un estudio sobre los facilitadores y las barreras que incidieron en la </w:t>
      </w:r>
      <w:r w:rsidRPr="005D10C1">
        <w:rPr>
          <w:rFonts w:ascii="Candara" w:hAnsi="Candara"/>
        </w:rPr>
        <w:t xml:space="preserve"> </w:t>
      </w:r>
      <w:r w:rsidR="00CA4B08" w:rsidRPr="005D10C1">
        <w:rPr>
          <w:rFonts w:ascii="Candara" w:hAnsi="Candara"/>
        </w:rPr>
        <w:t>la fase de preorganización de CONOSER</w:t>
      </w:r>
      <w:r w:rsidR="00341CDF" w:rsidRPr="005D10C1">
        <w:rPr>
          <w:rFonts w:ascii="Candara" w:hAnsi="Candara"/>
        </w:rPr>
        <w:t xml:space="preserve"> determinó que esta empresa tuvo que superar algunas barreras al interior de la UdeA, como  por ejemplo: l</w:t>
      </w:r>
      <w:r w:rsidR="00B316C0" w:rsidRPr="005D10C1">
        <w:rPr>
          <w:rFonts w:ascii="Candara" w:hAnsi="Candara"/>
        </w:rPr>
        <w:t xml:space="preserve">a </w:t>
      </w:r>
      <w:r w:rsidR="00341CDF" w:rsidRPr="005D10C1">
        <w:rPr>
          <w:rFonts w:ascii="Candara" w:hAnsi="Candara"/>
        </w:rPr>
        <w:t xml:space="preserve">falta de </w:t>
      </w:r>
      <w:r w:rsidR="00B316C0" w:rsidRPr="005D10C1">
        <w:rPr>
          <w:rFonts w:ascii="Candara" w:hAnsi="Candara"/>
        </w:rPr>
        <w:t xml:space="preserve">experiencia de la Universidad en la realización de actividades de emprendimiento y creación de  spin-off, </w:t>
      </w:r>
      <w:r w:rsidRPr="005D10C1">
        <w:rPr>
          <w:rFonts w:ascii="Candara" w:hAnsi="Candara"/>
        </w:rPr>
        <w:t>la</w:t>
      </w:r>
      <w:r w:rsidR="00B316C0" w:rsidRPr="005D10C1">
        <w:rPr>
          <w:rFonts w:ascii="Candara" w:hAnsi="Candara"/>
        </w:rPr>
        <w:t xml:space="preserve"> existencia de </w:t>
      </w:r>
      <w:r w:rsidR="00341CDF" w:rsidRPr="005D10C1">
        <w:rPr>
          <w:rFonts w:ascii="Candara" w:hAnsi="Candara"/>
        </w:rPr>
        <w:t xml:space="preserve">bajos niveles de </w:t>
      </w:r>
      <w:r w:rsidR="00B316C0" w:rsidRPr="005D10C1">
        <w:rPr>
          <w:rFonts w:ascii="Candara" w:hAnsi="Candara"/>
        </w:rPr>
        <w:t xml:space="preserve">financiación por parte de la universidad, </w:t>
      </w:r>
      <w:r w:rsidRPr="005D10C1">
        <w:rPr>
          <w:rFonts w:ascii="Candara" w:hAnsi="Candara"/>
        </w:rPr>
        <w:t xml:space="preserve">las </w:t>
      </w:r>
      <w:r w:rsidR="00B316C0" w:rsidRPr="005D10C1">
        <w:rPr>
          <w:rFonts w:ascii="Candara" w:hAnsi="Candara"/>
        </w:rPr>
        <w:t>políticas</w:t>
      </w:r>
      <w:r w:rsidR="00341CDF" w:rsidRPr="005D10C1">
        <w:rPr>
          <w:rFonts w:ascii="Candara" w:hAnsi="Candara"/>
        </w:rPr>
        <w:t xml:space="preserve"> </w:t>
      </w:r>
      <w:r w:rsidR="00B316C0" w:rsidRPr="005D10C1">
        <w:rPr>
          <w:rFonts w:ascii="Candara" w:hAnsi="Candara"/>
        </w:rPr>
        <w:t xml:space="preserve">estímulos o fondos para apoyo a los emprendedores académicos, </w:t>
      </w:r>
      <w:r w:rsidR="00341CDF" w:rsidRPr="005D10C1">
        <w:rPr>
          <w:rFonts w:ascii="Candara" w:hAnsi="Candara"/>
        </w:rPr>
        <w:t>el conflicto de intereses,</w:t>
      </w:r>
      <w:r w:rsidR="00B316C0" w:rsidRPr="005D10C1">
        <w:rPr>
          <w:rFonts w:ascii="Candara" w:hAnsi="Candara"/>
        </w:rPr>
        <w:t xml:space="preserve"> orientación al riesgo de la organización de origen, débil tradición de vínculos con el sector productivo privado, </w:t>
      </w:r>
      <w:r w:rsidR="00341CDF" w:rsidRPr="005D10C1">
        <w:rPr>
          <w:rFonts w:ascii="Candara" w:hAnsi="Candara"/>
        </w:rPr>
        <w:t>el escaso fo</w:t>
      </w:r>
      <w:r w:rsidR="00B316C0" w:rsidRPr="005D10C1">
        <w:rPr>
          <w:rFonts w:ascii="Candara" w:hAnsi="Candara"/>
        </w:rPr>
        <w:t>m</w:t>
      </w:r>
      <w:r w:rsidR="000E710D" w:rsidRPr="005D10C1">
        <w:rPr>
          <w:rFonts w:ascii="Candara" w:hAnsi="Candara"/>
        </w:rPr>
        <w:t xml:space="preserve">ento de redes con la industria, </w:t>
      </w:r>
      <w:r w:rsidR="00B316C0" w:rsidRPr="005D10C1">
        <w:rPr>
          <w:rFonts w:ascii="Candara" w:hAnsi="Candara"/>
        </w:rPr>
        <w:t xml:space="preserve"> </w:t>
      </w:r>
      <w:r w:rsidR="00341CDF" w:rsidRPr="005D10C1">
        <w:rPr>
          <w:rFonts w:ascii="Candara" w:hAnsi="Candara"/>
        </w:rPr>
        <w:t xml:space="preserve">la lenta </w:t>
      </w:r>
      <w:r w:rsidR="00B316C0" w:rsidRPr="005D10C1">
        <w:rPr>
          <w:rFonts w:ascii="Candara" w:hAnsi="Candara"/>
        </w:rPr>
        <w:t>velocidad de respuesta de la universidad</w:t>
      </w:r>
      <w:r w:rsidR="000E710D" w:rsidRPr="005D10C1">
        <w:rPr>
          <w:rFonts w:ascii="Candara" w:hAnsi="Candara"/>
        </w:rPr>
        <w:t xml:space="preserve"> y la resistencia por parte de algunos funcionarios que consideraban que los ingresos por concepto de extensión del Grupo de Investigación se encontraban en riesgo</w:t>
      </w:r>
      <w:r w:rsidR="00B316C0" w:rsidRPr="005D10C1">
        <w:rPr>
          <w:rFonts w:ascii="Candara" w:hAnsi="Candara"/>
        </w:rPr>
        <w:t xml:space="preserve">. </w:t>
      </w:r>
      <w:r w:rsidR="00341CDF" w:rsidRPr="005D10C1">
        <w:rPr>
          <w:rFonts w:ascii="Candara" w:hAnsi="Candara"/>
        </w:rPr>
        <w:t xml:space="preserve">Igualmente, en el trabajo en mención se establece que </w:t>
      </w:r>
      <w:r w:rsidR="00B316C0" w:rsidRPr="005D10C1">
        <w:rPr>
          <w:rFonts w:ascii="Candara" w:hAnsi="Candara"/>
        </w:rPr>
        <w:t xml:space="preserve"> la infraestructura de la Universidad</w:t>
      </w:r>
      <w:r w:rsidR="00341CDF" w:rsidRPr="005D10C1">
        <w:rPr>
          <w:rFonts w:ascii="Candara" w:hAnsi="Candara"/>
        </w:rPr>
        <w:t xml:space="preserve">, específicamente la existencia del </w:t>
      </w:r>
      <w:r w:rsidR="00B316C0" w:rsidRPr="005D10C1">
        <w:rPr>
          <w:rFonts w:ascii="Candara" w:hAnsi="Candara"/>
        </w:rPr>
        <w:t xml:space="preserve">Programa de Gestión Tecnológica y el Parque del Emprendimiento, la trayectoria de la </w:t>
      </w:r>
      <w:r w:rsidRPr="005D10C1">
        <w:rPr>
          <w:rFonts w:ascii="Candara" w:hAnsi="Candara"/>
        </w:rPr>
        <w:t>U</w:t>
      </w:r>
      <w:r w:rsidR="00B316C0" w:rsidRPr="005D10C1">
        <w:rPr>
          <w:rFonts w:ascii="Candara" w:hAnsi="Candara"/>
        </w:rPr>
        <w:t>niversidad de Antioquia en el entorno regional</w:t>
      </w:r>
      <w:r w:rsidR="004628A9" w:rsidRPr="005D10C1">
        <w:rPr>
          <w:rFonts w:ascii="Candara" w:hAnsi="Candara"/>
        </w:rPr>
        <w:t xml:space="preserve"> y</w:t>
      </w:r>
      <w:r w:rsidR="00B316C0" w:rsidRPr="005D10C1">
        <w:rPr>
          <w:rFonts w:ascii="Candara" w:hAnsi="Candara"/>
        </w:rPr>
        <w:t xml:space="preserve"> el nivel de exigencia investigativa de la Universidad</w:t>
      </w:r>
      <w:r w:rsidR="00341CDF" w:rsidRPr="005D10C1">
        <w:rPr>
          <w:rFonts w:ascii="Candara" w:hAnsi="Candara"/>
        </w:rPr>
        <w:t xml:space="preserve"> actuaron como facilitadores en la generación de este proyecto</w:t>
      </w:r>
      <w:r w:rsidR="00B316C0" w:rsidRPr="005D10C1">
        <w:rPr>
          <w:rFonts w:ascii="Candara" w:hAnsi="Candara"/>
        </w:rPr>
        <w:t>.</w:t>
      </w:r>
    </w:p>
    <w:p w14:paraId="437F6635" w14:textId="77777777" w:rsidR="00B316C0" w:rsidRPr="005D10C1" w:rsidRDefault="00B316C0" w:rsidP="00E60A2B">
      <w:pPr>
        <w:spacing w:line="360" w:lineRule="auto"/>
        <w:rPr>
          <w:rFonts w:ascii="Candara" w:hAnsi="Candara"/>
        </w:rPr>
      </w:pPr>
    </w:p>
    <w:p w14:paraId="0980CA56" w14:textId="77777777" w:rsidR="000640F4" w:rsidRPr="005D10C1" w:rsidRDefault="00CB3FF6" w:rsidP="00E60A2B">
      <w:pPr>
        <w:spacing w:line="360" w:lineRule="auto"/>
        <w:rPr>
          <w:rFonts w:ascii="Candara" w:hAnsi="Candara"/>
        </w:rPr>
      </w:pPr>
      <w:r w:rsidRPr="005D10C1">
        <w:rPr>
          <w:rFonts w:ascii="Candara" w:hAnsi="Candara"/>
        </w:rPr>
        <w:t>El marco jurídico y legal se constituye en u</w:t>
      </w:r>
      <w:r w:rsidR="00B316C0" w:rsidRPr="005D10C1">
        <w:rPr>
          <w:rFonts w:ascii="Candara" w:hAnsi="Candara"/>
        </w:rPr>
        <w:t xml:space="preserve">na de las barreras </w:t>
      </w:r>
      <w:r w:rsidR="00D00110" w:rsidRPr="005D10C1">
        <w:rPr>
          <w:rFonts w:ascii="Candara" w:hAnsi="Candara"/>
        </w:rPr>
        <w:t>más</w:t>
      </w:r>
      <w:r w:rsidR="00B316C0" w:rsidRPr="005D10C1">
        <w:rPr>
          <w:rFonts w:ascii="Candara" w:hAnsi="Candara"/>
        </w:rPr>
        <w:t xml:space="preserve">  fuertes encontradas al interior de la Universidad de Antioquia, debido a que el proceso de constitución de CONOSER se emprendió sin tener claridad en la normativa,  lo cual requirió un amplio período de tiempo y un alto nivel de recursos financieros y humanos para poder encontrar </w:t>
      </w:r>
      <w:r w:rsidR="00A01A12" w:rsidRPr="005D10C1">
        <w:rPr>
          <w:rFonts w:ascii="Candara" w:hAnsi="Candara"/>
        </w:rPr>
        <w:t xml:space="preserve">la </w:t>
      </w:r>
      <w:r w:rsidR="00113999" w:rsidRPr="005D10C1">
        <w:rPr>
          <w:rFonts w:ascii="Candara" w:hAnsi="Candara"/>
        </w:rPr>
        <w:t>mejor</w:t>
      </w:r>
      <w:r w:rsidR="00A01A12" w:rsidRPr="005D10C1">
        <w:rPr>
          <w:rFonts w:ascii="Candara" w:hAnsi="Candara"/>
        </w:rPr>
        <w:t xml:space="preserve"> alternativa</w:t>
      </w:r>
      <w:r w:rsidR="00B316C0" w:rsidRPr="005D10C1">
        <w:rPr>
          <w:rFonts w:ascii="Candara" w:hAnsi="Candara"/>
        </w:rPr>
        <w:t xml:space="preserve"> jurídic</w:t>
      </w:r>
      <w:r w:rsidR="00A01A12" w:rsidRPr="005D10C1">
        <w:rPr>
          <w:rFonts w:ascii="Candara" w:hAnsi="Candara"/>
        </w:rPr>
        <w:t>a</w:t>
      </w:r>
      <w:r w:rsidR="00E60A2B" w:rsidRPr="005D10C1">
        <w:rPr>
          <w:rFonts w:ascii="Candara" w:hAnsi="Candara"/>
        </w:rPr>
        <w:t xml:space="preserve"> </w:t>
      </w:r>
      <w:r w:rsidR="003B0D24" w:rsidRPr="005D10C1">
        <w:rPr>
          <w:rFonts w:ascii="Candara" w:hAnsi="Candara"/>
        </w:rPr>
        <w:fldChar w:fldCharType="begin" w:fldLock="1"/>
      </w:r>
      <w:r w:rsidR="00CA1A09" w:rsidRPr="005D10C1">
        <w:rPr>
          <w:rFonts w:ascii="Candara" w:hAnsi="Candara"/>
        </w:rPr>
        <w:instrText>ADDIN CSL_CITATION { "citationItems" : [ { "id" : "ITEM-1", "itemData" : { "author" : [ { "dropping-particle" : "", "family" : "Zu\u00f1iga", "given" : "Ana Cristina", "non-dropping-particle" : "", "parse-names" : false, "suffix" : "" } ], "id" : "ITEM-1", "issued" : { "date-parts" : [ [ "2012" ] ] }, "page" : "1-57", "publisher" : "Universidad de Antioquia", "title" : "Barreras y facilitadores en la creaci\u00f3n de la primera spin-off en la Universidad de Antioquia: Conocimientos y servicios de ingenier\u00eda S.A.S", "type" : "thesis" }, "uris" : [ "http://www.mendeley.com/documents/?uuid=ff96aac0-a14a-469a-be66-fa1ec4def7c4" ] } ], "mendeley" : { "previouslyFormattedCitation" : "(Zu\u00f1iga, 2012)" }, "properties" : { "noteIndex" : 0 }, "schema" : "https://github.com/citation-style-language/schema/raw/master/csl-citation.json" }</w:instrText>
      </w:r>
      <w:r w:rsidR="003B0D24" w:rsidRPr="005D10C1">
        <w:rPr>
          <w:rFonts w:ascii="Candara" w:hAnsi="Candara"/>
        </w:rPr>
        <w:fldChar w:fldCharType="separate"/>
      </w:r>
      <w:r w:rsidR="006F4C77" w:rsidRPr="005D10C1">
        <w:rPr>
          <w:rFonts w:ascii="Candara" w:hAnsi="Candara"/>
          <w:noProof/>
        </w:rPr>
        <w:t>(Zuñiga, 2012)</w:t>
      </w:r>
      <w:r w:rsidR="003B0D24" w:rsidRPr="005D10C1">
        <w:rPr>
          <w:rFonts w:ascii="Candara" w:hAnsi="Candara"/>
        </w:rPr>
        <w:fldChar w:fldCharType="end"/>
      </w:r>
      <w:r w:rsidR="00B316C0" w:rsidRPr="005D10C1">
        <w:rPr>
          <w:rFonts w:ascii="Candara" w:hAnsi="Candara"/>
        </w:rPr>
        <w:t xml:space="preserve">. </w:t>
      </w:r>
      <w:r w:rsidR="000E710D" w:rsidRPr="005D10C1">
        <w:rPr>
          <w:rFonts w:ascii="Candara" w:hAnsi="Candara"/>
        </w:rPr>
        <w:t xml:space="preserve"> De hecho</w:t>
      </w:r>
      <w:r w:rsidR="00113999" w:rsidRPr="005D10C1">
        <w:rPr>
          <w:rFonts w:ascii="Candara" w:hAnsi="Candara"/>
        </w:rPr>
        <w:t>, para</w:t>
      </w:r>
      <w:r w:rsidR="000E710D" w:rsidRPr="005D10C1">
        <w:rPr>
          <w:rFonts w:ascii="Candara" w:hAnsi="Candara"/>
        </w:rPr>
        <w:t xml:space="preserve"> el análisis de este caso se creó</w:t>
      </w:r>
      <w:r w:rsidR="00B316C0" w:rsidRPr="005D10C1">
        <w:rPr>
          <w:rFonts w:ascii="Candara" w:hAnsi="Candara"/>
        </w:rPr>
        <w:t xml:space="preserve"> una comisión constitucionalista encarga</w:t>
      </w:r>
      <w:r w:rsidR="004628A9" w:rsidRPr="005D10C1">
        <w:rPr>
          <w:rFonts w:ascii="Candara" w:hAnsi="Candara"/>
        </w:rPr>
        <w:t>da</w:t>
      </w:r>
      <w:r w:rsidR="00B316C0" w:rsidRPr="005D10C1">
        <w:rPr>
          <w:rFonts w:ascii="Candara" w:hAnsi="Candara"/>
        </w:rPr>
        <w:t xml:space="preserve"> de realizar estudios en la perspectiva de resolver algunas inquietudes jurídicas sobre posibilidad legal de tener un contrato de asociación entre funcionarios y universidad. </w:t>
      </w:r>
      <w:r w:rsidR="004628A9" w:rsidRPr="005D10C1">
        <w:rPr>
          <w:rFonts w:ascii="Candara" w:hAnsi="Candara"/>
        </w:rPr>
        <w:t xml:space="preserve">Por tanto, </w:t>
      </w:r>
      <w:r w:rsidR="00B316C0" w:rsidRPr="005D10C1">
        <w:rPr>
          <w:rFonts w:ascii="Candara" w:hAnsi="Candara"/>
        </w:rPr>
        <w:t xml:space="preserve">dejó trazado el </w:t>
      </w:r>
      <w:r w:rsidR="00914CE8" w:rsidRPr="005D10C1">
        <w:rPr>
          <w:rFonts w:ascii="Candara" w:hAnsi="Candara"/>
        </w:rPr>
        <w:t>camino hacia</w:t>
      </w:r>
      <w:r w:rsidR="00B316C0" w:rsidRPr="005D10C1">
        <w:rPr>
          <w:rFonts w:ascii="Candara" w:hAnsi="Candara"/>
        </w:rPr>
        <w:t xml:space="preserve"> la Rectoría que garantizó la vía para la intervención del Fondo Capital de Riesgo que daría el apoyo definitivo a la iniciativa.</w:t>
      </w:r>
    </w:p>
    <w:p w14:paraId="2CDEF8DF" w14:textId="77777777" w:rsidR="00CA4B08" w:rsidRPr="005D10C1" w:rsidRDefault="00CA4B08" w:rsidP="00E60A2B">
      <w:pPr>
        <w:spacing w:line="360" w:lineRule="auto"/>
        <w:rPr>
          <w:rFonts w:ascii="Candara" w:hAnsi="Candara"/>
        </w:rPr>
      </w:pPr>
    </w:p>
    <w:p w14:paraId="00FE3C43" w14:textId="77777777" w:rsidR="00CE0789" w:rsidRPr="005D10C1" w:rsidRDefault="00CE0789" w:rsidP="004837D5">
      <w:pPr>
        <w:pStyle w:val="Ttulo4"/>
        <w:rPr>
          <w:rFonts w:ascii="Candara" w:hAnsi="Candara"/>
          <w:color w:val="auto"/>
        </w:rPr>
      </w:pPr>
      <w:r w:rsidRPr="005D10C1">
        <w:rPr>
          <w:rFonts w:ascii="Candara" w:hAnsi="Candara"/>
          <w:color w:val="auto"/>
        </w:rPr>
        <w:lastRenderedPageBreak/>
        <w:t>Bioinnco</w:t>
      </w:r>
    </w:p>
    <w:p w14:paraId="345A8120" w14:textId="77777777" w:rsidR="00CE0789" w:rsidRPr="005D10C1" w:rsidRDefault="00CE0789" w:rsidP="00CE0789">
      <w:pPr>
        <w:rPr>
          <w:rFonts w:ascii="Candara" w:hAnsi="Candara"/>
        </w:rPr>
      </w:pPr>
    </w:p>
    <w:p w14:paraId="0F18779B" w14:textId="77777777" w:rsidR="00113999" w:rsidRPr="005D10C1" w:rsidRDefault="00113999" w:rsidP="00A8331B">
      <w:pPr>
        <w:spacing w:line="360" w:lineRule="auto"/>
        <w:rPr>
          <w:rFonts w:ascii="Candara" w:hAnsi="Candara"/>
        </w:rPr>
      </w:pPr>
      <w:r w:rsidRPr="005D10C1">
        <w:rPr>
          <w:rFonts w:ascii="Candara" w:hAnsi="Candara"/>
        </w:rPr>
        <w:t xml:space="preserve">La segunda spin-off de la Universidad de Antioquia es Bioinnco. </w:t>
      </w:r>
    </w:p>
    <w:p w14:paraId="38B11F28" w14:textId="77777777" w:rsidR="008C17DB" w:rsidRPr="005D10C1" w:rsidRDefault="003A7817" w:rsidP="00A8331B">
      <w:pPr>
        <w:spacing w:line="360" w:lineRule="auto"/>
        <w:rPr>
          <w:rFonts w:ascii="Candara" w:hAnsi="Candara"/>
        </w:rPr>
      </w:pPr>
      <w:r w:rsidRPr="005D10C1">
        <w:rPr>
          <w:rFonts w:ascii="Candara" w:hAnsi="Candara"/>
        </w:rPr>
        <w:t>Esta compañía</w:t>
      </w:r>
      <w:r w:rsidR="00113999" w:rsidRPr="005D10C1">
        <w:rPr>
          <w:rFonts w:ascii="Candara" w:hAnsi="Candara"/>
        </w:rPr>
        <w:t xml:space="preserve"> surge del grupo de investigación Biopolimer, sus productos se basan en las investigaciones desarrolladas por </w:t>
      </w:r>
      <w:r w:rsidR="00157C20" w:rsidRPr="005D10C1">
        <w:rPr>
          <w:rFonts w:ascii="Candara" w:hAnsi="Candara"/>
        </w:rPr>
        <w:t xml:space="preserve">dicho </w:t>
      </w:r>
      <w:r w:rsidR="00113999" w:rsidRPr="005D10C1">
        <w:rPr>
          <w:rFonts w:ascii="Candara" w:hAnsi="Candara"/>
        </w:rPr>
        <w:t xml:space="preserve">grupo. Esta compañía ha sido reconocida en diferentes programas de emprendimiento e innovación de la ciudad </w:t>
      </w:r>
      <w:r w:rsidR="008C17DB" w:rsidRPr="005D10C1">
        <w:rPr>
          <w:rFonts w:ascii="Candara" w:hAnsi="Candara"/>
        </w:rPr>
        <w:t xml:space="preserve">de Medellín </w:t>
      </w:r>
      <w:r w:rsidR="00113999" w:rsidRPr="005D10C1">
        <w:rPr>
          <w:rFonts w:ascii="Candara" w:hAnsi="Candara"/>
        </w:rPr>
        <w:t xml:space="preserve">como NERI, nruta entre otros. </w:t>
      </w:r>
    </w:p>
    <w:p w14:paraId="7E05194E" w14:textId="77777777" w:rsidR="00113999" w:rsidRPr="005D10C1" w:rsidRDefault="00113999" w:rsidP="00A8331B">
      <w:pPr>
        <w:spacing w:line="360" w:lineRule="auto"/>
        <w:rPr>
          <w:rFonts w:ascii="Candara" w:hAnsi="Candara"/>
        </w:rPr>
      </w:pPr>
      <w:r w:rsidRPr="005D10C1">
        <w:rPr>
          <w:rFonts w:ascii="Candara" w:hAnsi="Candara"/>
        </w:rPr>
        <w:t>La firma cuenta con un medio de cultivo natural y de bajo costo que es usado para la producción de biomasa y compuestos bioactivos para aplicaciones cosméticas, medioambientales y el área de salud y bienestar</w:t>
      </w:r>
      <w:r w:rsidR="00E062C5" w:rsidRPr="005D10C1">
        <w:rPr>
          <w:rFonts w:ascii="Candara" w:hAnsi="Candara"/>
        </w:rPr>
        <w:t xml:space="preserve"> </w:t>
      </w:r>
      <w:r w:rsidR="003B0D24" w:rsidRPr="005D10C1">
        <w:rPr>
          <w:rFonts w:ascii="Candara" w:hAnsi="Candara"/>
        </w:rPr>
        <w:fldChar w:fldCharType="begin" w:fldLock="1"/>
      </w:r>
      <w:r w:rsidR="00CA1A09" w:rsidRPr="005D10C1">
        <w:rPr>
          <w:rFonts w:ascii="Candara" w:hAnsi="Candara"/>
        </w:rPr>
        <w:instrText>ADDIN CSL_CITATION { "citationItems" : [ { "id" : "ITEM-1", "itemData" : { "URL" : "http://www.udea.edu.co/portal/page/portal/bActualidad/Principal_UdeA/UdeANoticias/Historial/Historial 2012/Sociedad/Bioinnco abre sus alas", "author" : [ { "dropping-particle" : "", "family" : "UdeA Noticias", "given" : "", "non-dropping-particle" : "", "parse-names" : false, "suffix" : "" } ], "id" : "ITEM-1", "issued" : { "date-parts" : [ [ "2012" ] ] }, "title" : "Bioinnco abre sus alas", "type" : "webpage" }, "uris" : [ "http://www.mendeley.com/documents/?uuid=f98fb952-3d06-4bc9-9c3f-c5e1c75017d0" ] } ], "mendeley" : { "previouslyFormattedCitation" : "(UdeA Noticias, 2012)" }, "properties" : { "noteIndex" : 0 }, "schema" : "https://github.com/citation-style-language/schema/raw/master/csl-citation.json" }</w:instrText>
      </w:r>
      <w:r w:rsidR="003B0D24" w:rsidRPr="005D10C1">
        <w:rPr>
          <w:rFonts w:ascii="Candara" w:hAnsi="Candara"/>
        </w:rPr>
        <w:fldChar w:fldCharType="separate"/>
      </w:r>
      <w:r w:rsidR="00E062C5" w:rsidRPr="005D10C1">
        <w:rPr>
          <w:rFonts w:ascii="Candara" w:hAnsi="Candara"/>
          <w:noProof/>
        </w:rPr>
        <w:t>(UdeA Noticias, 2012)</w:t>
      </w:r>
      <w:r w:rsidR="003B0D24" w:rsidRPr="005D10C1">
        <w:rPr>
          <w:rFonts w:ascii="Candara" w:hAnsi="Candara"/>
        </w:rPr>
        <w:fldChar w:fldCharType="end"/>
      </w:r>
      <w:r w:rsidRPr="005D10C1">
        <w:rPr>
          <w:rFonts w:ascii="Candara" w:hAnsi="Candara"/>
        </w:rPr>
        <w:t>.</w:t>
      </w:r>
    </w:p>
    <w:p w14:paraId="24A8D0B4" w14:textId="77777777" w:rsidR="003A7817" w:rsidRPr="005D10C1" w:rsidRDefault="003A7817" w:rsidP="00A8331B">
      <w:pPr>
        <w:spacing w:line="360" w:lineRule="auto"/>
        <w:rPr>
          <w:rFonts w:ascii="Candara" w:hAnsi="Candara"/>
        </w:rPr>
      </w:pPr>
    </w:p>
    <w:p w14:paraId="7B5B5D88" w14:textId="77777777" w:rsidR="003A7817" w:rsidRPr="005D10C1" w:rsidRDefault="003A7817" w:rsidP="00A8331B">
      <w:pPr>
        <w:spacing w:line="360" w:lineRule="auto"/>
        <w:rPr>
          <w:rFonts w:ascii="Candara" w:hAnsi="Candara"/>
        </w:rPr>
      </w:pPr>
      <w:r w:rsidRPr="005D10C1">
        <w:rPr>
          <w:rFonts w:ascii="Candara" w:hAnsi="Candara"/>
        </w:rPr>
        <w:t xml:space="preserve">Bioinnco fue constituida como una Spin Off el 11 de noviembre de 2011 con el apoyo de la Facultad de Química Farmacéutica y el Programa Gestión Tecnológica de la Universidad de Antioquia, y la Alcaldía de Medellín </w:t>
      </w:r>
      <w:r w:rsidR="003B0D24" w:rsidRPr="005D10C1">
        <w:rPr>
          <w:rFonts w:ascii="Candara" w:hAnsi="Candara"/>
        </w:rPr>
        <w:fldChar w:fldCharType="begin" w:fldLock="1"/>
      </w:r>
      <w:r w:rsidR="00CA1A09" w:rsidRPr="005D10C1">
        <w:rPr>
          <w:rFonts w:ascii="Candara" w:hAnsi="Candara"/>
        </w:rPr>
        <w:instrText>ADDIN CSL_CITATION { "citationItems" : [ { "id" : "ITEM-1", "itemData" : { "URL" : "http://www.universidadempresaestado.com.co/index.php?option=com_content&amp;view=article&amp;id=24:bioinnco-amasa-una-formula-para-prevenir-el-cancer&amp;catid=12:spin-off&amp;Itemid=26", "id" : "ITEM-1", "issued" : { "date-parts" : [ [ "2013" ] ] }, "title" : "Bioinnco amasa una f\u00f3rmula para prevenir el c\u00e1ncer", "type" : "webpage" }, "uris" : [ "http://www.mendeley.com/documents/?uuid=ad7655b8-1614-4b5e-abbb-c145f7e79912" ] } ], "mendeley" : { "previouslyFormattedCitation" : "(\u201cBioinnco amasa una f\u00f3rmula para prevenir el c\u00e1ncer,\u201d 2013)" }, "properties" : { "noteIndex" : 0 }, "schema" : "https://github.com/citation-style-language/schema/raw/master/csl-citation.json" }</w:instrText>
      </w:r>
      <w:r w:rsidR="003B0D24" w:rsidRPr="005D10C1">
        <w:rPr>
          <w:rFonts w:ascii="Candara" w:hAnsi="Candara"/>
        </w:rPr>
        <w:fldChar w:fldCharType="separate"/>
      </w:r>
      <w:r w:rsidRPr="005D10C1">
        <w:rPr>
          <w:rFonts w:ascii="Candara" w:hAnsi="Candara"/>
          <w:noProof/>
        </w:rPr>
        <w:t>(“Bioinnco amasa una fórmula para prevenir el cáncer,” 2013)</w:t>
      </w:r>
      <w:r w:rsidR="003B0D24" w:rsidRPr="005D10C1">
        <w:rPr>
          <w:rFonts w:ascii="Candara" w:hAnsi="Candara"/>
        </w:rPr>
        <w:fldChar w:fldCharType="end"/>
      </w:r>
      <w:r w:rsidRPr="005D10C1">
        <w:rPr>
          <w:rFonts w:ascii="Candara" w:hAnsi="Candara"/>
        </w:rPr>
        <w:t>.</w:t>
      </w:r>
    </w:p>
    <w:p w14:paraId="7B2029EE" w14:textId="77777777" w:rsidR="003A7817" w:rsidRPr="005D10C1" w:rsidRDefault="003A7817" w:rsidP="00A8331B">
      <w:pPr>
        <w:spacing w:line="360" w:lineRule="auto"/>
        <w:rPr>
          <w:rFonts w:ascii="Candara" w:hAnsi="Candara"/>
        </w:rPr>
      </w:pPr>
    </w:p>
    <w:p w14:paraId="1BF595A9" w14:textId="77777777" w:rsidR="0000079C" w:rsidRPr="005D10C1" w:rsidRDefault="0000079C" w:rsidP="00A8331B">
      <w:pPr>
        <w:spacing w:line="360" w:lineRule="auto"/>
        <w:rPr>
          <w:rFonts w:ascii="Candara" w:hAnsi="Candara"/>
        </w:rPr>
      </w:pPr>
      <w:r w:rsidRPr="005D10C1">
        <w:rPr>
          <w:rFonts w:ascii="Candara" w:hAnsi="Candara"/>
        </w:rPr>
        <w:t xml:space="preserve">Dentro del proceso de creación de la compañía es importante mencionar los siguientes momentos: </w:t>
      </w:r>
    </w:p>
    <w:p w14:paraId="377B3429" w14:textId="77777777" w:rsidR="0000079C" w:rsidRPr="005D10C1" w:rsidRDefault="00727E93" w:rsidP="001B24A9">
      <w:pPr>
        <w:pStyle w:val="Prrafodelista"/>
        <w:numPr>
          <w:ilvl w:val="0"/>
          <w:numId w:val="19"/>
        </w:numPr>
        <w:spacing w:line="360" w:lineRule="auto"/>
        <w:rPr>
          <w:rFonts w:ascii="Candara" w:hAnsi="Candara"/>
        </w:rPr>
      </w:pPr>
      <w:r w:rsidRPr="005D10C1">
        <w:rPr>
          <w:rFonts w:ascii="Candara" w:hAnsi="Candara"/>
        </w:rPr>
        <w:t>Las investigadoras de</w:t>
      </w:r>
      <w:r w:rsidR="0000079C" w:rsidRPr="005D10C1">
        <w:rPr>
          <w:rFonts w:ascii="Candara" w:hAnsi="Candara"/>
        </w:rPr>
        <w:t xml:space="preserve">l </w:t>
      </w:r>
      <w:r w:rsidR="003A7817" w:rsidRPr="005D10C1">
        <w:rPr>
          <w:rFonts w:ascii="Candara" w:hAnsi="Candara"/>
        </w:rPr>
        <w:t xml:space="preserve">grupo de investigación </w:t>
      </w:r>
      <w:r w:rsidRPr="005D10C1">
        <w:rPr>
          <w:rFonts w:ascii="Candara" w:hAnsi="Candara"/>
        </w:rPr>
        <w:t>obtienen un resultado de investigación patentable</w:t>
      </w:r>
      <w:r w:rsidR="0000079C" w:rsidRPr="005D10C1">
        <w:rPr>
          <w:rFonts w:ascii="Candara" w:hAnsi="Candara"/>
        </w:rPr>
        <w:t>.</w:t>
      </w:r>
      <w:r w:rsidR="00854965" w:rsidRPr="005D10C1">
        <w:rPr>
          <w:rFonts w:ascii="Candara" w:hAnsi="Candara"/>
        </w:rPr>
        <w:t xml:space="preserve"> </w:t>
      </w:r>
      <w:r w:rsidR="0000079C" w:rsidRPr="005D10C1">
        <w:rPr>
          <w:rFonts w:ascii="Candara" w:hAnsi="Candara"/>
        </w:rPr>
        <w:t>M</w:t>
      </w:r>
      <w:r w:rsidR="00B465C5" w:rsidRPr="005D10C1">
        <w:rPr>
          <w:rFonts w:ascii="Candara" w:hAnsi="Candara"/>
        </w:rPr>
        <w:t>ediante el</w:t>
      </w:r>
      <w:r w:rsidR="00854965" w:rsidRPr="005D10C1">
        <w:rPr>
          <w:rFonts w:ascii="Candara" w:hAnsi="Candara"/>
        </w:rPr>
        <w:t xml:space="preserve"> acompañamiento y asesoría del Programa Gestión Tecnológica </w:t>
      </w:r>
      <w:r w:rsidR="003A7817" w:rsidRPr="005D10C1">
        <w:rPr>
          <w:rFonts w:ascii="Candara" w:hAnsi="Candara"/>
        </w:rPr>
        <w:t xml:space="preserve">solicitan </w:t>
      </w:r>
      <w:r w:rsidR="00854965" w:rsidRPr="005D10C1">
        <w:rPr>
          <w:rFonts w:ascii="Candara" w:hAnsi="Candara"/>
        </w:rPr>
        <w:t xml:space="preserve">una </w:t>
      </w:r>
      <w:r w:rsidR="003A7817" w:rsidRPr="005D10C1">
        <w:rPr>
          <w:rFonts w:ascii="Candara" w:hAnsi="Candara"/>
        </w:rPr>
        <w:t xml:space="preserve">patente </w:t>
      </w:r>
      <w:r w:rsidR="00854965" w:rsidRPr="005D10C1">
        <w:rPr>
          <w:rFonts w:ascii="Candara" w:hAnsi="Candara"/>
        </w:rPr>
        <w:t>denominada “medio de fermentación optimizado de bajo costo”</w:t>
      </w:r>
      <w:r w:rsidR="00B465C5" w:rsidRPr="005D10C1">
        <w:rPr>
          <w:rFonts w:ascii="Candara" w:hAnsi="Candara"/>
        </w:rPr>
        <w:t xml:space="preserve">. </w:t>
      </w:r>
    </w:p>
    <w:p w14:paraId="0C8CD27A" w14:textId="77777777" w:rsidR="00727E93" w:rsidRPr="005D10C1" w:rsidRDefault="00727E93" w:rsidP="001B24A9">
      <w:pPr>
        <w:pStyle w:val="Prrafodelista"/>
        <w:numPr>
          <w:ilvl w:val="0"/>
          <w:numId w:val="19"/>
        </w:numPr>
        <w:spacing w:line="360" w:lineRule="auto"/>
        <w:rPr>
          <w:rFonts w:ascii="Candara" w:hAnsi="Candara"/>
        </w:rPr>
      </w:pPr>
      <w:r w:rsidRPr="005D10C1">
        <w:rPr>
          <w:rFonts w:ascii="Candara" w:hAnsi="Candara"/>
        </w:rPr>
        <w:t xml:space="preserve">Con este resultado </w:t>
      </w:r>
      <w:r w:rsidR="001E5706" w:rsidRPr="005D10C1">
        <w:rPr>
          <w:rFonts w:ascii="Candara" w:hAnsi="Candara"/>
        </w:rPr>
        <w:t>las investigadoras participan en el concurso Neri, en el cual maduran su idea de negocio y establecen un plan de empresa estructurado con visión de mercados internacionales.</w:t>
      </w:r>
    </w:p>
    <w:p w14:paraId="11735409" w14:textId="77777777" w:rsidR="003A7817" w:rsidRPr="005D10C1" w:rsidRDefault="00B465C5" w:rsidP="001B24A9">
      <w:pPr>
        <w:pStyle w:val="Prrafodelista"/>
        <w:numPr>
          <w:ilvl w:val="0"/>
          <w:numId w:val="19"/>
        </w:numPr>
        <w:spacing w:line="360" w:lineRule="auto"/>
        <w:rPr>
          <w:rFonts w:ascii="Candara" w:hAnsi="Candara"/>
        </w:rPr>
      </w:pPr>
      <w:r w:rsidRPr="005D10C1">
        <w:rPr>
          <w:rFonts w:ascii="Candara" w:hAnsi="Candara"/>
        </w:rPr>
        <w:t>La U</w:t>
      </w:r>
      <w:r w:rsidR="003A7817" w:rsidRPr="005D10C1">
        <w:rPr>
          <w:rFonts w:ascii="Candara" w:hAnsi="Candara"/>
        </w:rPr>
        <w:t xml:space="preserve">niversidad </w:t>
      </w:r>
      <w:r w:rsidRPr="005D10C1">
        <w:rPr>
          <w:rFonts w:ascii="Candara" w:hAnsi="Candara"/>
        </w:rPr>
        <w:t xml:space="preserve">de Antioquia </w:t>
      </w:r>
      <w:r w:rsidR="0000079C" w:rsidRPr="005D10C1">
        <w:rPr>
          <w:rFonts w:ascii="Candara" w:hAnsi="Candara"/>
        </w:rPr>
        <w:t xml:space="preserve">firma un contrato con Bioinnco, en el cual se establece </w:t>
      </w:r>
      <w:r w:rsidR="00854965" w:rsidRPr="005D10C1">
        <w:rPr>
          <w:rFonts w:ascii="Candara" w:hAnsi="Candara"/>
        </w:rPr>
        <w:t xml:space="preserve">un </w:t>
      </w:r>
      <w:r w:rsidR="0000079C" w:rsidRPr="005D10C1">
        <w:rPr>
          <w:rFonts w:ascii="Candara" w:hAnsi="Candara"/>
        </w:rPr>
        <w:t xml:space="preserve">acuerdo de </w:t>
      </w:r>
      <w:r w:rsidR="003A7817" w:rsidRPr="005D10C1">
        <w:rPr>
          <w:rFonts w:ascii="Candara" w:hAnsi="Candara"/>
        </w:rPr>
        <w:t>licencia</w:t>
      </w:r>
      <w:r w:rsidR="00854965" w:rsidRPr="005D10C1">
        <w:rPr>
          <w:rFonts w:ascii="Candara" w:hAnsi="Candara"/>
        </w:rPr>
        <w:t>miento de</w:t>
      </w:r>
      <w:r w:rsidR="003A7817" w:rsidRPr="005D10C1">
        <w:rPr>
          <w:rFonts w:ascii="Candara" w:hAnsi="Candara"/>
        </w:rPr>
        <w:t xml:space="preserve"> la patente</w:t>
      </w:r>
      <w:r w:rsidR="0000079C" w:rsidRPr="005D10C1">
        <w:rPr>
          <w:rFonts w:ascii="Candara" w:hAnsi="Candara"/>
        </w:rPr>
        <w:t>, lo que le permite a la compañía explotar industrial y comercialmente el desarrollo</w:t>
      </w:r>
      <w:r w:rsidR="003A7817" w:rsidRPr="005D10C1">
        <w:rPr>
          <w:rFonts w:ascii="Candara" w:hAnsi="Candara"/>
        </w:rPr>
        <w:t xml:space="preserve">. </w:t>
      </w:r>
      <w:r w:rsidR="00E062C5" w:rsidRPr="005D10C1">
        <w:rPr>
          <w:rFonts w:ascii="Candara" w:hAnsi="Candara"/>
        </w:rPr>
        <w:t xml:space="preserve">Esta modalidad de </w:t>
      </w:r>
      <w:r w:rsidR="00E062C5" w:rsidRPr="005D10C1">
        <w:rPr>
          <w:rFonts w:ascii="Candara" w:hAnsi="Candara"/>
        </w:rPr>
        <w:lastRenderedPageBreak/>
        <w:t xml:space="preserve">licenciamiento era el camino menos traumático y más ágil para la creación de dicha compañía. </w:t>
      </w:r>
    </w:p>
    <w:p w14:paraId="106B9C36" w14:textId="77777777" w:rsidR="008C17DB" w:rsidRPr="005D10C1" w:rsidRDefault="008C17DB" w:rsidP="00A8331B">
      <w:pPr>
        <w:spacing w:line="360" w:lineRule="auto"/>
        <w:rPr>
          <w:rFonts w:ascii="Candara" w:hAnsi="Candara"/>
        </w:rPr>
      </w:pPr>
    </w:p>
    <w:p w14:paraId="0B548D46" w14:textId="77777777" w:rsidR="001E5706" w:rsidRPr="005D10C1" w:rsidRDefault="001E5706" w:rsidP="004837D5">
      <w:pPr>
        <w:pStyle w:val="Ttulo4"/>
        <w:rPr>
          <w:rFonts w:ascii="Candara" w:hAnsi="Candara"/>
          <w:color w:val="auto"/>
        </w:rPr>
      </w:pPr>
      <w:r w:rsidRPr="005D10C1">
        <w:rPr>
          <w:rFonts w:ascii="Candara" w:hAnsi="Candara"/>
          <w:color w:val="auto"/>
        </w:rPr>
        <w:t>Nexentia</w:t>
      </w:r>
    </w:p>
    <w:p w14:paraId="45BC7F1C" w14:textId="77777777" w:rsidR="008C17DB" w:rsidRPr="005D10C1" w:rsidRDefault="008C17DB" w:rsidP="00A8331B">
      <w:pPr>
        <w:spacing w:line="360" w:lineRule="auto"/>
        <w:rPr>
          <w:rFonts w:ascii="Candara" w:hAnsi="Candara"/>
        </w:rPr>
      </w:pPr>
    </w:p>
    <w:p w14:paraId="6B65365A" w14:textId="77777777" w:rsidR="004837D5" w:rsidRPr="005D10C1" w:rsidRDefault="004837D5" w:rsidP="004837D5">
      <w:pPr>
        <w:spacing w:line="360" w:lineRule="auto"/>
        <w:rPr>
          <w:rFonts w:ascii="Candara" w:hAnsi="Candara"/>
        </w:rPr>
      </w:pPr>
      <w:r w:rsidRPr="005D10C1">
        <w:rPr>
          <w:rFonts w:ascii="Candara" w:hAnsi="Candara"/>
        </w:rPr>
        <w:t>Sumicol y la Universidad de Antioquia realizaron una alianza estratégica, con el propósito de impulsar la investigación, innovación, desarrollo, producción y comercialización (mediante licenciamiento o cesión) de Tecnologías, relacionadas a la micro encapsulación y aglomeración de minerales, así como a las nano partículas de minerales. El objeto de la alianza comprende la investigación científica y el desarrollo tecnológico con el fin de utilizar y comercializar a terceros las tecnologías desarrolladas o generadas en el marco de este Convenio, así como los productos obtenidos a partir de ellas.</w:t>
      </w:r>
    </w:p>
    <w:p w14:paraId="24E30B17" w14:textId="77777777" w:rsidR="004837D5" w:rsidRPr="005D10C1" w:rsidRDefault="004837D5" w:rsidP="004837D5">
      <w:pPr>
        <w:spacing w:line="360" w:lineRule="auto"/>
        <w:rPr>
          <w:rFonts w:ascii="Candara" w:hAnsi="Candara"/>
        </w:rPr>
      </w:pPr>
      <w:r w:rsidRPr="005D10C1">
        <w:rPr>
          <w:rFonts w:ascii="Candara" w:hAnsi="Candara"/>
        </w:rPr>
        <w:t xml:space="preserve"> </w:t>
      </w:r>
    </w:p>
    <w:p w14:paraId="352D3684" w14:textId="77777777" w:rsidR="004837D5" w:rsidRPr="005D10C1" w:rsidRDefault="004837D5" w:rsidP="004837D5">
      <w:pPr>
        <w:spacing w:line="360" w:lineRule="auto"/>
        <w:rPr>
          <w:rFonts w:ascii="Candara" w:hAnsi="Candara"/>
        </w:rPr>
      </w:pPr>
      <w:r w:rsidRPr="005D10C1">
        <w:rPr>
          <w:rFonts w:ascii="Candara" w:hAnsi="Candara"/>
        </w:rPr>
        <w:t>Fruto de esta alianza el 11 de febrero de 2013, se constituyó formal</w:t>
      </w:r>
      <w:r w:rsidR="00CA1A09" w:rsidRPr="005D10C1">
        <w:rPr>
          <w:rFonts w:ascii="Candara" w:hAnsi="Candara"/>
        </w:rPr>
        <w:t xml:space="preserve">mente la empresa </w:t>
      </w:r>
      <w:r w:rsidR="00702DC6" w:rsidRPr="005D10C1">
        <w:rPr>
          <w:rFonts w:ascii="Candara" w:hAnsi="Candara"/>
        </w:rPr>
        <w:t>Nexentia</w:t>
      </w:r>
      <w:r w:rsidR="00CA1A09" w:rsidRPr="005D10C1">
        <w:rPr>
          <w:rFonts w:ascii="Candara" w:hAnsi="Candara"/>
        </w:rPr>
        <w:t>, quien</w:t>
      </w:r>
      <w:r w:rsidRPr="005D10C1">
        <w:rPr>
          <w:rFonts w:ascii="Candara" w:hAnsi="Candara"/>
        </w:rPr>
        <w:t xml:space="preserve"> será la plataforma de transferencia de la tecnología desarrollada en la alianza.</w:t>
      </w:r>
    </w:p>
    <w:p w14:paraId="22913288" w14:textId="77777777" w:rsidR="004726A3" w:rsidRPr="005D10C1" w:rsidRDefault="004837D5" w:rsidP="004837D5">
      <w:pPr>
        <w:spacing w:line="360" w:lineRule="auto"/>
        <w:rPr>
          <w:rFonts w:ascii="Candara" w:hAnsi="Candara"/>
        </w:rPr>
      </w:pPr>
      <w:r w:rsidRPr="005D10C1">
        <w:rPr>
          <w:rFonts w:ascii="Candara" w:hAnsi="Candara"/>
        </w:rPr>
        <w:t xml:space="preserve">Se espera que en 2014, la empresa </w:t>
      </w:r>
      <w:r w:rsidR="00702DC6" w:rsidRPr="005D10C1">
        <w:rPr>
          <w:rFonts w:ascii="Candara" w:hAnsi="Candara"/>
        </w:rPr>
        <w:t>inicie</w:t>
      </w:r>
      <w:r w:rsidRPr="005D10C1">
        <w:rPr>
          <w:rFonts w:ascii="Candara" w:hAnsi="Candara"/>
        </w:rPr>
        <w:t xml:space="preserve"> las actividades comerciales con las tecnologías licenciadas por la UdeA</w:t>
      </w:r>
      <w:r w:rsidR="00702DC6" w:rsidRPr="005D10C1">
        <w:rPr>
          <w:rFonts w:ascii="Candara" w:hAnsi="Candara"/>
        </w:rPr>
        <w:t xml:space="preserve"> (Información suministrada por el Programa de Gestión Tecnológica)</w:t>
      </w:r>
      <w:r w:rsidRPr="005D10C1">
        <w:rPr>
          <w:rFonts w:ascii="Candara" w:hAnsi="Candara"/>
        </w:rPr>
        <w:t>.</w:t>
      </w:r>
    </w:p>
    <w:p w14:paraId="374C574F" w14:textId="77777777" w:rsidR="00B316C0" w:rsidRPr="005D10C1" w:rsidRDefault="00B316C0" w:rsidP="00E60A2B">
      <w:pPr>
        <w:spacing w:line="360" w:lineRule="auto"/>
        <w:rPr>
          <w:rFonts w:ascii="Candara" w:hAnsi="Candara"/>
        </w:rPr>
      </w:pPr>
    </w:p>
    <w:p w14:paraId="06BE4B9E" w14:textId="77777777" w:rsidR="00A64E0C" w:rsidRPr="005D10C1" w:rsidRDefault="00A64E0C" w:rsidP="00E3118E">
      <w:pPr>
        <w:pStyle w:val="Ttulo3"/>
        <w:rPr>
          <w:rFonts w:ascii="Candara" w:hAnsi="Candara"/>
          <w:i/>
          <w:color w:val="auto"/>
        </w:rPr>
      </w:pPr>
      <w:bookmarkStart w:id="283" w:name="_Toc377653160"/>
      <w:r w:rsidRPr="005D10C1">
        <w:rPr>
          <w:rFonts w:ascii="Candara" w:hAnsi="Candara"/>
          <w:i/>
          <w:color w:val="auto"/>
        </w:rPr>
        <w:t>Universidad Nacional</w:t>
      </w:r>
      <w:bookmarkEnd w:id="283"/>
    </w:p>
    <w:p w14:paraId="4D679EAD" w14:textId="77777777" w:rsidR="00D24706" w:rsidRPr="005D10C1" w:rsidRDefault="00D24706" w:rsidP="00E60A2B">
      <w:pPr>
        <w:spacing w:line="360" w:lineRule="auto"/>
        <w:rPr>
          <w:rFonts w:ascii="Candara" w:hAnsi="Candara"/>
          <w:b/>
          <w:i/>
        </w:rPr>
      </w:pPr>
    </w:p>
    <w:p w14:paraId="1B3F281E" w14:textId="77777777" w:rsidR="00102323" w:rsidRPr="005D10C1" w:rsidRDefault="00102323" w:rsidP="00E60A2B">
      <w:pPr>
        <w:spacing w:line="360" w:lineRule="auto"/>
        <w:rPr>
          <w:rFonts w:ascii="Candara" w:hAnsi="Candara"/>
        </w:rPr>
      </w:pPr>
      <w:r w:rsidRPr="005D10C1">
        <w:rPr>
          <w:rFonts w:ascii="Candara" w:hAnsi="Candara"/>
        </w:rPr>
        <w:t>Desde la década del 60 en la Universidad Nacional</w:t>
      </w:r>
      <w:r w:rsidR="00BA13F6" w:rsidRPr="005D10C1">
        <w:rPr>
          <w:rFonts w:ascii="Candara" w:hAnsi="Candara"/>
        </w:rPr>
        <w:t xml:space="preserve"> </w:t>
      </w:r>
      <w:r w:rsidRPr="005D10C1">
        <w:rPr>
          <w:rFonts w:ascii="Candara" w:hAnsi="Candara"/>
        </w:rPr>
        <w:t>mediante una Reforma en la cual se le asignó a los departamentos académicos la enseñanza universitaria de pregrado y postgrado, así como la investigación científica, se inició el proceso de segunda revolución de la universidad.</w:t>
      </w:r>
    </w:p>
    <w:p w14:paraId="60F2D57F" w14:textId="77777777" w:rsidR="00102323" w:rsidRPr="005D10C1" w:rsidRDefault="00102323" w:rsidP="00E60A2B">
      <w:pPr>
        <w:spacing w:line="360" w:lineRule="auto"/>
        <w:rPr>
          <w:rFonts w:ascii="Candara" w:hAnsi="Candara"/>
        </w:rPr>
      </w:pPr>
    </w:p>
    <w:p w14:paraId="5EF557BB" w14:textId="77777777" w:rsidR="00102323" w:rsidRPr="005D10C1" w:rsidRDefault="00507642" w:rsidP="00E60A2B">
      <w:pPr>
        <w:spacing w:line="360" w:lineRule="auto"/>
        <w:rPr>
          <w:rFonts w:ascii="Candara" w:hAnsi="Candara"/>
        </w:rPr>
      </w:pPr>
      <w:r w:rsidRPr="005D10C1">
        <w:rPr>
          <w:rFonts w:ascii="Candara" w:hAnsi="Candara"/>
        </w:rPr>
        <w:lastRenderedPageBreak/>
        <w:t xml:space="preserve">La Universidad Nacional de Colombia, ha definido políticas y normas hacia la consolidación de estrategias para la generación de conocimiento, desarrollo de la ciencia y la tecnología. </w:t>
      </w:r>
    </w:p>
    <w:p w14:paraId="05337EAC" w14:textId="77777777" w:rsidR="00CA7FC7" w:rsidRPr="005D10C1" w:rsidRDefault="00CA7FC7" w:rsidP="00E60A2B">
      <w:pPr>
        <w:spacing w:line="360" w:lineRule="auto"/>
        <w:rPr>
          <w:rFonts w:ascii="Candara" w:hAnsi="Candara"/>
        </w:rPr>
      </w:pPr>
    </w:p>
    <w:p w14:paraId="238F48E1" w14:textId="77777777" w:rsidR="005C06EE" w:rsidRPr="005D10C1" w:rsidRDefault="00102323" w:rsidP="00E60A2B">
      <w:pPr>
        <w:spacing w:line="360" w:lineRule="auto"/>
        <w:rPr>
          <w:rFonts w:ascii="Candara" w:hAnsi="Candara"/>
        </w:rPr>
      </w:pPr>
      <w:r w:rsidRPr="005D10C1">
        <w:rPr>
          <w:rFonts w:ascii="Candara" w:hAnsi="Candara"/>
        </w:rPr>
        <w:t>Dentro de las p</w:t>
      </w:r>
      <w:r w:rsidR="00507642" w:rsidRPr="005D10C1">
        <w:rPr>
          <w:rFonts w:ascii="Candara" w:hAnsi="Candara"/>
        </w:rPr>
        <w:t xml:space="preserve">olíticas y estrategias que </w:t>
      </w:r>
      <w:r w:rsidR="00D24706" w:rsidRPr="005D10C1">
        <w:rPr>
          <w:rFonts w:ascii="Candara" w:hAnsi="Candara"/>
        </w:rPr>
        <w:t xml:space="preserve">son </w:t>
      </w:r>
      <w:r w:rsidR="00507642" w:rsidRPr="005D10C1">
        <w:rPr>
          <w:rFonts w:ascii="Candara" w:hAnsi="Candara"/>
        </w:rPr>
        <w:t>tenidas en</w:t>
      </w:r>
      <w:r w:rsidR="00545E51" w:rsidRPr="005D10C1">
        <w:rPr>
          <w:rFonts w:ascii="Candara" w:hAnsi="Candara"/>
        </w:rPr>
        <w:t xml:space="preserve"> </w:t>
      </w:r>
      <w:r w:rsidR="00507642" w:rsidRPr="005D10C1">
        <w:rPr>
          <w:rFonts w:ascii="Candara" w:hAnsi="Candara"/>
        </w:rPr>
        <w:t xml:space="preserve">cuenta por </w:t>
      </w:r>
      <w:r w:rsidR="00E121D3" w:rsidRPr="005D10C1">
        <w:rPr>
          <w:rFonts w:ascii="Candara" w:hAnsi="Candara"/>
        </w:rPr>
        <w:t xml:space="preserve">todos </w:t>
      </w:r>
      <w:r w:rsidR="00507642" w:rsidRPr="005D10C1">
        <w:rPr>
          <w:rFonts w:ascii="Candara" w:hAnsi="Candara"/>
        </w:rPr>
        <w:t xml:space="preserve">los actores de la Universidad, las cuales corresponden a: Acuerdo 035de 2003, en el que se expide el reglamento de propiedad Intelectual; Acuerdo 11 de </w:t>
      </w:r>
      <w:r w:rsidRPr="005D10C1">
        <w:rPr>
          <w:rFonts w:ascii="Candara" w:hAnsi="Candara"/>
        </w:rPr>
        <w:t>2005</w:t>
      </w:r>
      <w:r w:rsidR="00507642" w:rsidRPr="005D10C1">
        <w:rPr>
          <w:rFonts w:ascii="Candara" w:hAnsi="Candara"/>
        </w:rPr>
        <w:t xml:space="preserve"> Estatuto General</w:t>
      </w:r>
      <w:r w:rsidRPr="005D10C1">
        <w:rPr>
          <w:rFonts w:ascii="Candara" w:hAnsi="Candara"/>
        </w:rPr>
        <w:t>,</w:t>
      </w:r>
      <w:r w:rsidR="00507642" w:rsidRPr="005D10C1">
        <w:rPr>
          <w:rFonts w:ascii="Candara" w:hAnsi="Candara"/>
        </w:rPr>
        <w:t xml:space="preserve"> Acuerdos 32 de 2005, </w:t>
      </w:r>
      <w:r w:rsidRPr="005D10C1">
        <w:rPr>
          <w:rFonts w:ascii="Candara" w:hAnsi="Candara"/>
        </w:rPr>
        <w:t xml:space="preserve">Acuerdo </w:t>
      </w:r>
      <w:r w:rsidR="00507642" w:rsidRPr="005D10C1">
        <w:rPr>
          <w:rFonts w:ascii="Candara" w:hAnsi="Candara"/>
        </w:rPr>
        <w:t xml:space="preserve">14  y </w:t>
      </w:r>
      <w:r w:rsidRPr="005D10C1">
        <w:rPr>
          <w:rFonts w:ascii="Candara" w:hAnsi="Candara"/>
        </w:rPr>
        <w:t xml:space="preserve">Acuerdo </w:t>
      </w:r>
      <w:r w:rsidR="00507642" w:rsidRPr="005D10C1">
        <w:rPr>
          <w:rFonts w:ascii="Candara" w:hAnsi="Candara"/>
        </w:rPr>
        <w:t xml:space="preserve">031 de 2006, en los que se define y reglamenta la estructura administrativa para el </w:t>
      </w:r>
      <w:r w:rsidR="00507642" w:rsidRPr="005D10C1">
        <w:rPr>
          <w:rFonts w:ascii="Candara" w:hAnsi="Candara"/>
          <w:b/>
        </w:rPr>
        <w:t>Sistema de  Investigación</w:t>
      </w:r>
      <w:r w:rsidR="00507642" w:rsidRPr="005D10C1">
        <w:rPr>
          <w:rFonts w:ascii="Candara" w:hAnsi="Candara"/>
        </w:rPr>
        <w:t xml:space="preserve">; Acuerdo 036 de 2009, que reglamenta </w:t>
      </w:r>
      <w:r w:rsidR="00507642" w:rsidRPr="005D10C1">
        <w:rPr>
          <w:rFonts w:ascii="Candara" w:hAnsi="Candara"/>
          <w:b/>
        </w:rPr>
        <w:t>la extensión</w:t>
      </w:r>
      <w:r w:rsidR="00507642" w:rsidRPr="005D10C1">
        <w:rPr>
          <w:rFonts w:ascii="Candara" w:hAnsi="Candara"/>
        </w:rPr>
        <w:t xml:space="preserve"> en la U</w:t>
      </w:r>
      <w:r w:rsidR="00A030AD" w:rsidRPr="005D10C1">
        <w:rPr>
          <w:rFonts w:ascii="Candara" w:hAnsi="Candara"/>
        </w:rPr>
        <w:t xml:space="preserve">niversidad </w:t>
      </w:r>
      <w:r w:rsidR="00507642" w:rsidRPr="005D10C1">
        <w:rPr>
          <w:rFonts w:ascii="Candara" w:hAnsi="Candara"/>
        </w:rPr>
        <w:t>N</w:t>
      </w:r>
      <w:r w:rsidR="00A030AD" w:rsidRPr="005D10C1">
        <w:rPr>
          <w:rFonts w:ascii="Candara" w:hAnsi="Candara"/>
        </w:rPr>
        <w:t xml:space="preserve">acional de </w:t>
      </w:r>
      <w:r w:rsidR="00507642" w:rsidRPr="005D10C1">
        <w:rPr>
          <w:rFonts w:ascii="Candara" w:hAnsi="Candara"/>
        </w:rPr>
        <w:t>C</w:t>
      </w:r>
      <w:r w:rsidR="00A030AD" w:rsidRPr="005D10C1">
        <w:rPr>
          <w:rFonts w:ascii="Candara" w:hAnsi="Candara"/>
        </w:rPr>
        <w:t>olombia</w:t>
      </w:r>
      <w:r w:rsidR="00507642" w:rsidRPr="005D10C1">
        <w:rPr>
          <w:rFonts w:ascii="Candara" w:hAnsi="Candara"/>
        </w:rPr>
        <w:t xml:space="preserve">, todos estos acuerdos expedidos por el Consejo Superior Universitario y el </w:t>
      </w:r>
      <w:r w:rsidR="00507642" w:rsidRPr="005D10C1">
        <w:rPr>
          <w:rFonts w:ascii="Candara" w:hAnsi="Candara"/>
          <w:b/>
        </w:rPr>
        <w:t>Plan Estratégico de Investigación 2005-2017</w:t>
      </w:r>
      <w:r w:rsidR="00507642" w:rsidRPr="005D10C1">
        <w:rPr>
          <w:rFonts w:ascii="Candara" w:hAnsi="Candara"/>
        </w:rPr>
        <w:t>, liderado por la Vice</w:t>
      </w:r>
      <w:r w:rsidR="00A030AD" w:rsidRPr="005D10C1">
        <w:rPr>
          <w:rFonts w:ascii="Candara" w:hAnsi="Candara"/>
        </w:rPr>
        <w:t>rrectoría de Investigación</w:t>
      </w:r>
      <w:r w:rsidR="003B0D24" w:rsidRPr="005D10C1">
        <w:rPr>
          <w:rFonts w:ascii="Candara" w:hAnsi="Candara"/>
        </w:rPr>
        <w:fldChar w:fldCharType="begin" w:fldLock="1"/>
      </w:r>
      <w:r w:rsidR="00CA1A09" w:rsidRPr="005D10C1">
        <w:rPr>
          <w:rFonts w:ascii="Candara" w:hAnsi="Candara"/>
        </w:rPr>
        <w:instrText>ADDIN CSL_CITATION { "citationItems" : [ { "id" : "ITEM-1", "itemData" : { "author" : [ { "dropping-particle" : "", "family" : "Tamayo", "given" : "Luz", "non-dropping-particle" : "", "parse-names" : false, "suffix" : "" } ], "id" : "ITEM-1", "issued" : { "date-parts" : [ [ "2011" ] ] }, "page" : "102", "publisher" : "Universidad Nacional de Colombia", "title" : "Condiciones institucionales para la creaci\u00f3n de una spin-off acad\u00e9mica: Caso, la Facultad de Minas de la Universidad Nacional de Colombia", "type" : "thesis" }, "uris" : [ "http://www.mendeley.com/documents/?uuid=a2eea0ab-162d-42d3-8bb6-2390ee5fc446" ] } ], "mendeley" : { "previouslyFormattedCitation" : "(Tamayo, 2011)" }, "properties" : { "noteIndex" : 0 }, "schema" : "https://github.com/citation-style-language/schema/raw/master/csl-citation.json" }</w:instrText>
      </w:r>
      <w:r w:rsidR="003B0D24" w:rsidRPr="005D10C1">
        <w:rPr>
          <w:rFonts w:ascii="Candara" w:hAnsi="Candara"/>
        </w:rPr>
        <w:fldChar w:fldCharType="separate"/>
      </w:r>
      <w:r w:rsidR="00CA1A09" w:rsidRPr="005D10C1">
        <w:rPr>
          <w:rFonts w:ascii="Candara" w:hAnsi="Candara"/>
          <w:noProof/>
        </w:rPr>
        <w:t>(Tamayo, 2011)</w:t>
      </w:r>
      <w:r w:rsidR="003B0D24" w:rsidRPr="005D10C1">
        <w:rPr>
          <w:rFonts w:ascii="Candara" w:hAnsi="Candara"/>
        </w:rPr>
        <w:fldChar w:fldCharType="end"/>
      </w:r>
      <w:r w:rsidR="00A030AD" w:rsidRPr="005D10C1">
        <w:rPr>
          <w:rFonts w:ascii="Candara" w:hAnsi="Candara"/>
        </w:rPr>
        <w:t>.</w:t>
      </w:r>
    </w:p>
    <w:p w14:paraId="4AEBA2A6" w14:textId="77777777" w:rsidR="00A030AD" w:rsidRPr="005D10C1" w:rsidRDefault="00A030AD" w:rsidP="00E60A2B">
      <w:pPr>
        <w:spacing w:line="360" w:lineRule="auto"/>
        <w:rPr>
          <w:rFonts w:ascii="Candara" w:hAnsi="Candara"/>
        </w:rPr>
      </w:pPr>
    </w:p>
    <w:p w14:paraId="4CCB9C03" w14:textId="77777777" w:rsidR="00486CE7" w:rsidRPr="005D10C1" w:rsidRDefault="004651D4" w:rsidP="00E60A2B">
      <w:pPr>
        <w:spacing w:line="360" w:lineRule="auto"/>
        <w:rPr>
          <w:rFonts w:ascii="Candara" w:hAnsi="Candara"/>
        </w:rPr>
      </w:pPr>
      <w:r w:rsidRPr="005D10C1">
        <w:rPr>
          <w:rFonts w:ascii="Candara" w:hAnsi="Candara"/>
        </w:rPr>
        <w:t>En el Acuerdo</w:t>
      </w:r>
      <w:r w:rsidR="00102323" w:rsidRPr="005D10C1">
        <w:rPr>
          <w:rFonts w:ascii="Candara" w:hAnsi="Candara"/>
        </w:rPr>
        <w:t xml:space="preserve"> 11 </w:t>
      </w:r>
      <w:r w:rsidR="0045535C" w:rsidRPr="005D10C1">
        <w:rPr>
          <w:rFonts w:ascii="Candara" w:hAnsi="Candara"/>
        </w:rPr>
        <w:t xml:space="preserve">de 2005 </w:t>
      </w:r>
      <w:r w:rsidRPr="005D10C1">
        <w:rPr>
          <w:rFonts w:ascii="Candara" w:hAnsi="Candara"/>
        </w:rPr>
        <w:t xml:space="preserve">específicamente en el artículo 14 establece que </w:t>
      </w:r>
      <w:r w:rsidR="0045535C" w:rsidRPr="005D10C1">
        <w:rPr>
          <w:rFonts w:ascii="Candara" w:hAnsi="Candara"/>
        </w:rPr>
        <w:t xml:space="preserve">el </w:t>
      </w:r>
      <w:r w:rsidR="00545E51" w:rsidRPr="005D10C1">
        <w:rPr>
          <w:rFonts w:ascii="Candara" w:hAnsi="Candara"/>
        </w:rPr>
        <w:t>Consejo S</w:t>
      </w:r>
      <w:r w:rsidR="0045535C" w:rsidRPr="005D10C1">
        <w:rPr>
          <w:rFonts w:ascii="Candara" w:hAnsi="Candara"/>
        </w:rPr>
        <w:t xml:space="preserve">uperior </w:t>
      </w:r>
      <w:r w:rsidR="00AF4AB4" w:rsidRPr="005D10C1">
        <w:rPr>
          <w:rFonts w:ascii="Candara" w:hAnsi="Candara"/>
        </w:rPr>
        <w:t>establece</w:t>
      </w:r>
      <w:r w:rsidR="0045535C" w:rsidRPr="005D10C1">
        <w:rPr>
          <w:rFonts w:ascii="Candara" w:hAnsi="Candara"/>
        </w:rPr>
        <w:t xml:space="preserve"> la creación y organización del sistema </w:t>
      </w:r>
      <w:r w:rsidRPr="005D10C1">
        <w:rPr>
          <w:rFonts w:ascii="Candara" w:hAnsi="Candara"/>
        </w:rPr>
        <w:t>de investigación de la universidad</w:t>
      </w:r>
      <w:r w:rsidR="003B0D24" w:rsidRPr="005D10C1">
        <w:rPr>
          <w:rFonts w:ascii="Candara" w:hAnsi="Candara"/>
        </w:rPr>
        <w:fldChar w:fldCharType="begin" w:fldLock="1"/>
      </w:r>
      <w:r w:rsidR="00CA1A09" w:rsidRPr="005D10C1">
        <w:rPr>
          <w:rFonts w:ascii="Candara" w:hAnsi="Candara"/>
        </w:rPr>
        <w:instrText>ADDIN CSL_CITATION { "citationItems" : [ { "id" : "ITEM-1", "itemData" : { "author" : [ { "dropping-particle" : "", "family" : "Universidad Nacional de Colombia", "given" : "", "non-dropping-particle" : "", "parse-names" : false, "suffix" : "" } ], "id" : "ITEM-1", "issued" : { "date-parts" : [ [ "2005" ] ] }, "title" : "Acuerdo N\u00famero 011 de 2005", "type" : "article" }, "uris" : [ "http://www.mendeley.com/documents/?uuid=6dd5fa1f-3191-4a03-8ae2-a189ac2617e8" ] } ], "mendeley" : { "previouslyFormattedCitation" : "(Universidad Nacional de Colombia, 2005a)" }, "properties" : { "noteIndex" : 0 }, "schema" : "https://github.com/citation-style-language/schema/raw/master/csl-citation.json" }</w:instrText>
      </w:r>
      <w:r w:rsidR="003B0D24" w:rsidRPr="005D10C1">
        <w:rPr>
          <w:rFonts w:ascii="Candara" w:hAnsi="Candara"/>
        </w:rPr>
        <w:fldChar w:fldCharType="separate"/>
      </w:r>
      <w:r w:rsidR="007F68F3" w:rsidRPr="005D10C1">
        <w:rPr>
          <w:rFonts w:ascii="Candara" w:hAnsi="Candara"/>
          <w:noProof/>
        </w:rPr>
        <w:t>(Universidad Nacional de Colombia, 2005a)</w:t>
      </w:r>
      <w:r w:rsidR="003B0D24" w:rsidRPr="005D10C1">
        <w:rPr>
          <w:rFonts w:ascii="Candara" w:hAnsi="Candara"/>
        </w:rPr>
        <w:fldChar w:fldCharType="end"/>
      </w:r>
      <w:r w:rsidR="007F68F3" w:rsidRPr="005D10C1">
        <w:rPr>
          <w:rFonts w:ascii="Candara" w:hAnsi="Candara"/>
        </w:rPr>
        <w:t>;</w:t>
      </w:r>
      <w:r w:rsidRPr="005D10C1">
        <w:rPr>
          <w:rFonts w:ascii="Candara" w:hAnsi="Candara"/>
        </w:rPr>
        <w:t xml:space="preserve"> a su vez en el Acuerdo </w:t>
      </w:r>
      <w:r w:rsidR="00102323" w:rsidRPr="005D10C1">
        <w:rPr>
          <w:rFonts w:ascii="Candara" w:hAnsi="Candara"/>
        </w:rPr>
        <w:t xml:space="preserve">32 de 2005 </w:t>
      </w:r>
      <w:r w:rsidRPr="005D10C1">
        <w:rPr>
          <w:rFonts w:ascii="Candara" w:hAnsi="Candara"/>
        </w:rPr>
        <w:t xml:space="preserve">determina </w:t>
      </w:r>
      <w:r w:rsidR="00A46629" w:rsidRPr="005D10C1">
        <w:rPr>
          <w:rFonts w:ascii="Candara" w:hAnsi="Candara"/>
        </w:rPr>
        <w:t xml:space="preserve">a </w:t>
      </w:r>
      <w:r w:rsidR="00545E51" w:rsidRPr="005D10C1">
        <w:rPr>
          <w:rFonts w:ascii="Candara" w:hAnsi="Candara"/>
        </w:rPr>
        <w:t>la Vicerrectoría de I</w:t>
      </w:r>
      <w:r w:rsidRPr="005D10C1">
        <w:rPr>
          <w:rFonts w:ascii="Candara" w:hAnsi="Candara"/>
        </w:rPr>
        <w:t xml:space="preserve">nvestigación y sus funciones, </w:t>
      </w:r>
      <w:r w:rsidR="007F68F3" w:rsidRPr="005D10C1">
        <w:rPr>
          <w:rFonts w:ascii="Candara" w:hAnsi="Candara"/>
        </w:rPr>
        <w:t xml:space="preserve">y </w:t>
      </w:r>
      <w:r w:rsidRPr="005D10C1">
        <w:rPr>
          <w:rFonts w:ascii="Candara" w:hAnsi="Candara"/>
        </w:rPr>
        <w:t>en el artículo 5 está clara como función general consolidar el Sistema de Investigación de la Universidad Nacional, a través de políticas y redes que incluyan los grupos de investigación, centros, institutos, facultades y sedes</w:t>
      </w:r>
      <w:r w:rsidR="003B0D24" w:rsidRPr="005D10C1">
        <w:rPr>
          <w:rFonts w:ascii="Candara" w:hAnsi="Candara"/>
        </w:rPr>
        <w:fldChar w:fldCharType="begin" w:fldLock="1"/>
      </w:r>
      <w:r w:rsidR="00CA1A09" w:rsidRPr="005D10C1">
        <w:rPr>
          <w:rFonts w:ascii="Candara" w:hAnsi="Candara"/>
        </w:rPr>
        <w:instrText>ADDIN CSL_CITATION { "citationItems" : [ { "id" : "ITEM-1", "itemData" : { "URL" : "http://www.dib.unal.edu.co/acercade/acuerdo032_2005_csu.html", "author" : [ { "dropping-particle" : "", "family" : "Universidad Nacional de Colombia", "given" : "", "non-dropping-particle" : "", "parse-names" : false, "suffix" : "" } ], "id" : "ITEM-1", "issued" : { "date-parts" : [ [ "2005" ] ] }, "title" : "Acuerdo 032 de 2005 del Consejo Superior Universitario", "type" : "webpage" }, "uris" : [ "http://www.mendeley.com/documents/?uuid=c5832fee-ddd4-46a6-9a18-ab0fa0fc2fb4" ] } ], "mendeley" : { "previouslyFormattedCitation" : "(Universidad Nacional de Colombia, 2005b)" }, "properties" : { "noteIndex" : 0 }, "schema" : "https://github.com/citation-style-language/schema/raw/master/csl-citation.json" }</w:instrText>
      </w:r>
      <w:r w:rsidR="003B0D24" w:rsidRPr="005D10C1">
        <w:rPr>
          <w:rFonts w:ascii="Candara" w:hAnsi="Candara"/>
        </w:rPr>
        <w:fldChar w:fldCharType="separate"/>
      </w:r>
      <w:r w:rsidR="007F68F3" w:rsidRPr="005D10C1">
        <w:rPr>
          <w:rFonts w:ascii="Candara" w:hAnsi="Candara"/>
          <w:noProof/>
        </w:rPr>
        <w:t>(Universidad Nacional de Colombia, 2005b)</w:t>
      </w:r>
      <w:r w:rsidR="003B0D24" w:rsidRPr="005D10C1">
        <w:rPr>
          <w:rFonts w:ascii="Candara" w:hAnsi="Candara"/>
        </w:rPr>
        <w:fldChar w:fldCharType="end"/>
      </w:r>
      <w:r w:rsidRPr="005D10C1">
        <w:rPr>
          <w:rFonts w:ascii="Candara" w:hAnsi="Candara"/>
        </w:rPr>
        <w:t>.</w:t>
      </w:r>
    </w:p>
    <w:p w14:paraId="3A2CF389" w14:textId="77777777" w:rsidR="00545E51" w:rsidRPr="005D10C1" w:rsidRDefault="00545E51" w:rsidP="00E60A2B">
      <w:pPr>
        <w:spacing w:line="360" w:lineRule="auto"/>
        <w:rPr>
          <w:rFonts w:ascii="Candara" w:hAnsi="Candara"/>
        </w:rPr>
      </w:pPr>
    </w:p>
    <w:p w14:paraId="69879D71" w14:textId="77777777" w:rsidR="00486CE7" w:rsidRPr="005D10C1" w:rsidRDefault="007F68F3" w:rsidP="00E60A2B">
      <w:pPr>
        <w:spacing w:line="360" w:lineRule="auto"/>
        <w:rPr>
          <w:rFonts w:ascii="Candara" w:hAnsi="Candara"/>
        </w:rPr>
      </w:pPr>
      <w:r w:rsidRPr="005D10C1">
        <w:rPr>
          <w:rFonts w:ascii="Candara" w:hAnsi="Candara"/>
        </w:rPr>
        <w:t>En el Acuerdo 1</w:t>
      </w:r>
      <w:r w:rsidR="00102323" w:rsidRPr="005D10C1">
        <w:rPr>
          <w:rFonts w:ascii="Candara" w:hAnsi="Candara"/>
        </w:rPr>
        <w:t xml:space="preserve">4 </w:t>
      </w:r>
      <w:r w:rsidR="00A46629" w:rsidRPr="005D10C1">
        <w:rPr>
          <w:rFonts w:ascii="Candara" w:hAnsi="Candara"/>
        </w:rPr>
        <w:t>de 2006 se crea y se organiza el Sistema de Investigación de la UN</w:t>
      </w:r>
      <w:r w:rsidR="004734DF" w:rsidRPr="005D10C1">
        <w:rPr>
          <w:rFonts w:ascii="Candara" w:hAnsi="Candara"/>
        </w:rPr>
        <w:t>, dicho acuerdo establece los principios, políticas, actividades, funciones y recursos</w:t>
      </w:r>
      <w:r w:rsidR="00A9165A" w:rsidRPr="005D10C1">
        <w:rPr>
          <w:rFonts w:ascii="Candara" w:hAnsi="Candara"/>
        </w:rPr>
        <w:t>. El SIUN tiene como actores fundamentales a los investigadores y como principales a los grupos, centros e institutos de investigación. También, se consideran actores del Sistema a los pasantes, profesores</w:t>
      </w:r>
      <w:r w:rsidR="003B0D24" w:rsidRPr="005D10C1">
        <w:rPr>
          <w:rFonts w:ascii="Candara" w:hAnsi="Candara"/>
        </w:rPr>
        <w:fldChar w:fldCharType="begin" w:fldLock="1"/>
      </w:r>
      <w:r w:rsidR="00CA1A09" w:rsidRPr="005D10C1">
        <w:rPr>
          <w:rFonts w:ascii="Candara" w:hAnsi="Candara"/>
        </w:rPr>
        <w:instrText>ADDIN CSL_CITATION { "citationItems" : [ { "id" : "ITEM-1", "itemData" : { "author" : [ { "dropping-particle" : "", "family" : "Universidad Nacional de Colombia", "given" : "", "non-dropping-particle" : "", "parse-names" : false, "suffix" : "" } ], "id" : "ITEM-1", "issued" : { "date-parts" : [ [ "2006" ] ] }, "title" : "Acuerdo 014 de 2006 del Consejo Superior Universitario", "type" : "article" }, "uris" : [ "http://www.mendeley.com/documents/?uuid=eb2eaca7-ec09-415a-91c5-ad1f225eab23" ] } ], "mendeley" : { "previouslyFormattedCitation" : "(Universidad Nacional de Colombia, 2006)" }, "properties" : { "noteIndex" : 0 }, "schema" : "https://github.com/citation-style-language/schema/raw/master/csl-citation.json" }</w:instrText>
      </w:r>
      <w:r w:rsidR="003B0D24" w:rsidRPr="005D10C1">
        <w:rPr>
          <w:rFonts w:ascii="Candara" w:hAnsi="Candara"/>
        </w:rPr>
        <w:fldChar w:fldCharType="separate"/>
      </w:r>
      <w:r w:rsidR="00486CE7" w:rsidRPr="005D10C1">
        <w:rPr>
          <w:rFonts w:ascii="Candara" w:hAnsi="Candara"/>
          <w:noProof/>
        </w:rPr>
        <w:t>(Universidad Nacional de Colombia, 2006)</w:t>
      </w:r>
      <w:r w:rsidR="003B0D24" w:rsidRPr="005D10C1">
        <w:rPr>
          <w:rFonts w:ascii="Candara" w:hAnsi="Candara"/>
        </w:rPr>
        <w:fldChar w:fldCharType="end"/>
      </w:r>
      <w:r w:rsidR="00486CE7" w:rsidRPr="005D10C1">
        <w:rPr>
          <w:rFonts w:ascii="Candara" w:hAnsi="Candara"/>
        </w:rPr>
        <w:t>.</w:t>
      </w:r>
    </w:p>
    <w:p w14:paraId="12AFED9E" w14:textId="77777777" w:rsidR="00A9165A" w:rsidRPr="005D10C1" w:rsidRDefault="00486CE7" w:rsidP="00E60A2B">
      <w:pPr>
        <w:spacing w:line="360" w:lineRule="auto"/>
        <w:rPr>
          <w:rFonts w:ascii="Candara" w:hAnsi="Candara"/>
        </w:rPr>
      </w:pPr>
      <w:r w:rsidRPr="005D10C1">
        <w:rPr>
          <w:rFonts w:ascii="Candara" w:hAnsi="Candara"/>
        </w:rPr>
        <w:lastRenderedPageBreak/>
        <w:t xml:space="preserve">En el Acuerdo </w:t>
      </w:r>
      <w:r w:rsidR="00102323" w:rsidRPr="005D10C1">
        <w:rPr>
          <w:rFonts w:ascii="Candara" w:hAnsi="Candara"/>
        </w:rPr>
        <w:t>031 de 2006 del Consejo Superior Universitario</w:t>
      </w:r>
      <w:r w:rsidR="00545E51" w:rsidRPr="005D10C1">
        <w:rPr>
          <w:rFonts w:ascii="Candara" w:hAnsi="Candara"/>
        </w:rPr>
        <w:t xml:space="preserve"> </w:t>
      </w:r>
      <w:r w:rsidR="00031F32" w:rsidRPr="005D10C1">
        <w:rPr>
          <w:rFonts w:ascii="Candara" w:hAnsi="Candara"/>
        </w:rPr>
        <w:t xml:space="preserve">establece </w:t>
      </w:r>
      <w:r w:rsidRPr="005D10C1">
        <w:rPr>
          <w:rFonts w:ascii="Candara" w:hAnsi="Candara"/>
        </w:rPr>
        <w:t xml:space="preserve">cómo es el Fondo de Investigación de la UN, pues </w:t>
      </w:r>
      <w:r w:rsidR="00031F32" w:rsidRPr="005D10C1">
        <w:rPr>
          <w:rFonts w:ascii="Candara" w:hAnsi="Candara"/>
        </w:rPr>
        <w:t xml:space="preserve">en éste </w:t>
      </w:r>
      <w:r w:rsidRPr="005D10C1">
        <w:rPr>
          <w:rFonts w:ascii="Candara" w:hAnsi="Candara"/>
        </w:rPr>
        <w:t xml:space="preserve">se </w:t>
      </w:r>
      <w:r w:rsidR="00031F32" w:rsidRPr="005D10C1">
        <w:rPr>
          <w:rFonts w:ascii="Candara" w:hAnsi="Candara"/>
        </w:rPr>
        <w:t>define</w:t>
      </w:r>
      <w:r w:rsidR="00102323" w:rsidRPr="005D10C1">
        <w:rPr>
          <w:rFonts w:ascii="Candara" w:hAnsi="Candara"/>
        </w:rPr>
        <w:t xml:space="preserve"> como política la inversión de recursos propios para la financiación de</w:t>
      </w:r>
      <w:r w:rsidR="00A9165A" w:rsidRPr="005D10C1">
        <w:rPr>
          <w:rFonts w:ascii="Candara" w:hAnsi="Candara"/>
        </w:rPr>
        <w:t>l sistema</w:t>
      </w:r>
      <w:r w:rsidR="00102323" w:rsidRPr="005D10C1">
        <w:rPr>
          <w:rFonts w:ascii="Candara" w:hAnsi="Candara"/>
        </w:rPr>
        <w:t xml:space="preserve">. </w:t>
      </w:r>
    </w:p>
    <w:p w14:paraId="023B79A7" w14:textId="77777777" w:rsidR="00102323" w:rsidRPr="005D10C1" w:rsidRDefault="00102323" w:rsidP="00E60A2B">
      <w:pPr>
        <w:spacing w:line="360" w:lineRule="auto"/>
        <w:rPr>
          <w:rFonts w:ascii="Candara" w:hAnsi="Candara"/>
        </w:rPr>
      </w:pPr>
    </w:p>
    <w:p w14:paraId="3EB6B86F" w14:textId="77777777" w:rsidR="0069140D" w:rsidRPr="005D10C1" w:rsidRDefault="003C0697" w:rsidP="00E60A2B">
      <w:pPr>
        <w:spacing w:line="360" w:lineRule="auto"/>
        <w:rPr>
          <w:rFonts w:ascii="Candara" w:hAnsi="Candara"/>
        </w:rPr>
      </w:pPr>
      <w:r w:rsidRPr="005D10C1">
        <w:rPr>
          <w:rFonts w:ascii="Candara" w:hAnsi="Candara"/>
        </w:rPr>
        <w:t>De conformidad con la ley 29 de 1990 y la ley 1286 de 2009 la Universidad Nacional, como entidad y agente del SNCTI debe propiciar la innovación y el uso del conocimiento científico y tecnológico para aumentar la productividad y la competitividad del aparato productivo y elevar el bienestar de la población en todas sus dimensiones, en concordancia con las agendas y planes de desarrollo de los niveles nacional, regional y local del país. Por tanto e</w:t>
      </w:r>
      <w:r w:rsidR="00102323" w:rsidRPr="005D10C1">
        <w:rPr>
          <w:rFonts w:ascii="Candara" w:hAnsi="Candara"/>
        </w:rPr>
        <w:t xml:space="preserve">n el año 2009, </w:t>
      </w:r>
      <w:r w:rsidRPr="005D10C1">
        <w:rPr>
          <w:rFonts w:ascii="Candara" w:hAnsi="Candara"/>
        </w:rPr>
        <w:t xml:space="preserve">mediante el Acuerdo 036 de 2009 se reglamenta la extensión de la Universidad y se </w:t>
      </w:r>
      <w:r w:rsidR="00102323" w:rsidRPr="005D10C1">
        <w:rPr>
          <w:rFonts w:ascii="Candara" w:hAnsi="Candara"/>
        </w:rPr>
        <w:t>amplía ostensiblemente la visión de este aspecto misional</w:t>
      </w:r>
      <w:r w:rsidR="0069140D" w:rsidRPr="005D10C1">
        <w:rPr>
          <w:rFonts w:ascii="Candara" w:hAnsi="Candara"/>
        </w:rPr>
        <w:t xml:space="preserve">. En el artículo 5 de este acuerdo se establece como modalidad de la extensión universitaria la participación en proyectos de innovación y gestión tecnológica. </w:t>
      </w:r>
      <w:r w:rsidR="00CA7FC7" w:rsidRPr="005D10C1">
        <w:rPr>
          <w:rFonts w:ascii="Candara" w:hAnsi="Candara"/>
        </w:rPr>
        <w:t>“</w:t>
      </w:r>
      <w:r w:rsidR="00CA7FC7" w:rsidRPr="005D10C1">
        <w:rPr>
          <w:rFonts w:ascii="Candara" w:hAnsi="Candara"/>
          <w:i/>
        </w:rPr>
        <w:t>Los proyectos de Innovación y Gestión Tecnológica, el conjunto de actividades de carácter académico que se adelanten como resultado de las labores de docencia e investigación, con la finalidad de incorporar conocimientos a los procesos productivos, sociales, culturales y políticos. Un Proyecto de Innovación busca desarrollar e implementar un mejoramiento o nuevo valor en el corto, mediano o largo plazos. La implementación de la innovación hace referencia a la introducción en el mercado o a la aplicación y el uso del desarrollo innovador</w:t>
      </w:r>
      <w:r w:rsidR="00CA7FC7" w:rsidRPr="005D10C1">
        <w:rPr>
          <w:rFonts w:ascii="Candara" w:hAnsi="Candara"/>
        </w:rPr>
        <w:t xml:space="preserve">” </w:t>
      </w:r>
      <w:r w:rsidR="003B0D24" w:rsidRPr="005D10C1">
        <w:rPr>
          <w:rFonts w:ascii="Candara" w:hAnsi="Candara"/>
        </w:rPr>
        <w:fldChar w:fldCharType="begin" w:fldLock="1"/>
      </w:r>
      <w:r w:rsidR="00CA1A09" w:rsidRPr="005D10C1">
        <w:rPr>
          <w:rFonts w:ascii="Candara" w:hAnsi="Candara"/>
        </w:rPr>
        <w:instrText>ADDIN CSL_CITATION { "citationItems" : [ { "id" : "ITEM-1", "itemData" : { "author" : [ { "dropping-particle" : "", "family" : "Universidad Nacional de Colombia", "given" : "", "non-dropping-particle" : "", "parse-names" : false, "suffix" : "" } ], "id" : "ITEM-1", "issued" : { "date-parts" : [ [ "2009" ] ] }, "title" : "Acuerdo 036 de 2009", "type" : "article" }, "uris" : [ "http://www.mendeley.com/documents/?uuid=cc3d0900-6832-478e-b8d4-5397d38b3dc0" ] } ], "mendeley" : { "previouslyFormattedCitation" : "(Universidad Nacional de Colombia, 2009)" }, "properties" : { "noteIndex" : 0 }, "schema" : "https://github.com/citation-style-language/schema/raw/master/csl-citation.json" }</w:instrText>
      </w:r>
      <w:r w:rsidR="003B0D24" w:rsidRPr="005D10C1">
        <w:rPr>
          <w:rFonts w:ascii="Candara" w:hAnsi="Candara"/>
        </w:rPr>
        <w:fldChar w:fldCharType="separate"/>
      </w:r>
      <w:r w:rsidR="00CA7FC7" w:rsidRPr="005D10C1">
        <w:rPr>
          <w:rFonts w:ascii="Candara" w:hAnsi="Candara"/>
          <w:noProof/>
        </w:rPr>
        <w:t>(Universidad Nacional de Colombia, 2009)</w:t>
      </w:r>
      <w:r w:rsidR="003B0D24" w:rsidRPr="005D10C1">
        <w:rPr>
          <w:rFonts w:ascii="Candara" w:hAnsi="Candara"/>
        </w:rPr>
        <w:fldChar w:fldCharType="end"/>
      </w:r>
      <w:r w:rsidR="00CA7FC7" w:rsidRPr="005D10C1">
        <w:rPr>
          <w:rFonts w:ascii="Candara" w:hAnsi="Candara"/>
        </w:rPr>
        <w:t>.</w:t>
      </w:r>
    </w:p>
    <w:p w14:paraId="02CE6015" w14:textId="77777777" w:rsidR="0069140D" w:rsidRPr="005D10C1" w:rsidRDefault="0069140D" w:rsidP="00E60A2B">
      <w:pPr>
        <w:spacing w:line="360" w:lineRule="auto"/>
        <w:rPr>
          <w:rFonts w:ascii="Candara" w:hAnsi="Candara"/>
        </w:rPr>
      </w:pPr>
    </w:p>
    <w:p w14:paraId="4248C35F" w14:textId="77777777" w:rsidR="00102323" w:rsidRPr="005D10C1" w:rsidRDefault="00514927" w:rsidP="00E60A2B">
      <w:pPr>
        <w:spacing w:line="360" w:lineRule="auto"/>
        <w:rPr>
          <w:rFonts w:ascii="Candara" w:hAnsi="Candara"/>
        </w:rPr>
      </w:pPr>
      <w:r w:rsidRPr="005D10C1">
        <w:rPr>
          <w:rFonts w:ascii="Candara" w:hAnsi="Candara"/>
        </w:rPr>
        <w:t>En el Plan Global de Desarrollo 2010-2012, se propone la</w:t>
      </w:r>
      <w:r w:rsidR="00102323" w:rsidRPr="005D10C1">
        <w:rPr>
          <w:rFonts w:ascii="Candara" w:hAnsi="Candara"/>
        </w:rPr>
        <w:t xml:space="preserve"> construcción e implementación de Agendas del Conocimiento </w:t>
      </w:r>
      <w:r w:rsidR="00D11845" w:rsidRPr="005D10C1">
        <w:rPr>
          <w:rFonts w:ascii="Candara" w:hAnsi="Candara"/>
        </w:rPr>
        <w:t xml:space="preserve">cuyo objetivo es fortalecer los procesos de generación y apropiación de conocimiento realizado por los investigadores a través de sus diversas formas de asociación –grupos, centros, consorcios, redes, etc.- y la construcción colectiva de una visión compartida de futuro en la que identifiquen los escenarios e integren su capacidad y experiencia a través de programas y proyectos de investigación, </w:t>
      </w:r>
      <w:r w:rsidR="00D11845" w:rsidRPr="005D10C1">
        <w:rPr>
          <w:rFonts w:ascii="Candara" w:hAnsi="Candara"/>
        </w:rPr>
        <w:lastRenderedPageBreak/>
        <w:t>desarrollo tecnológico, innovación, artísticos y culturales de carácter interdisciplinar con alto impacto para el país, e incidan en la construcción de conocimiento con proyección internacional y con pertinencia nacional</w:t>
      </w:r>
      <w:r w:rsidR="008A7BEB" w:rsidRPr="005D10C1">
        <w:rPr>
          <w:rFonts w:ascii="Candara" w:hAnsi="Candara"/>
        </w:rPr>
        <w:t xml:space="preserve"> </w:t>
      </w:r>
      <w:r w:rsidR="003B0D24" w:rsidRPr="005D10C1">
        <w:rPr>
          <w:rFonts w:ascii="Candara" w:hAnsi="Candara"/>
        </w:rPr>
        <w:fldChar w:fldCharType="begin" w:fldLock="1"/>
      </w:r>
      <w:r w:rsidR="00CA1A09" w:rsidRPr="005D10C1">
        <w:rPr>
          <w:rFonts w:ascii="Candara" w:hAnsi="Candara"/>
        </w:rPr>
        <w:instrText>ADDIN CSL_CITATION { "citationItems" : [ { "id" : "ITEM-1", "itemData" : { "URL" : "http://www.viceinvestigacion.unal.edu.co/VRI/index.php?option=com_content&amp;view=category&amp;id=34&amp;layout=blog&amp;Itemid=117", "id" : "ITEM-1", "issued" : { "date-parts" : [ [ "0" ] ] }, "title" : "Agendas de conocimiento", "type" : "webpage" }, "uris" : [ "http://www.mendeley.com/documents/?uuid=17fb2d6c-055b-4eaa-abc4-972b40b25213" ] } ], "mendeley" : { "previouslyFormattedCitation" : "(\u201cAgendas de conocimiento,\u201d n.d.)" }, "properties" : { "noteIndex" : 0 }, "schema" : "https://github.com/citation-style-language/schema/raw/master/csl-citation.json" }</w:instrText>
      </w:r>
      <w:r w:rsidR="003B0D24" w:rsidRPr="005D10C1">
        <w:rPr>
          <w:rFonts w:ascii="Candara" w:hAnsi="Candara"/>
        </w:rPr>
        <w:fldChar w:fldCharType="separate"/>
      </w:r>
      <w:r w:rsidR="00D11845" w:rsidRPr="005D10C1">
        <w:rPr>
          <w:rFonts w:ascii="Candara" w:hAnsi="Candara"/>
          <w:noProof/>
        </w:rPr>
        <w:t>(“Agendas de conocimiento,” n.d.)</w:t>
      </w:r>
      <w:r w:rsidR="003B0D24" w:rsidRPr="005D10C1">
        <w:rPr>
          <w:rFonts w:ascii="Candara" w:hAnsi="Candara"/>
        </w:rPr>
        <w:fldChar w:fldCharType="end"/>
      </w:r>
      <w:r w:rsidR="00102323" w:rsidRPr="005D10C1">
        <w:rPr>
          <w:rFonts w:ascii="Candara" w:hAnsi="Candara"/>
        </w:rPr>
        <w:t>. Estas agendas permitirán identificar las capacidades de investigación y entregar al investigador nuevos escenarios o modelos donde él pueda desarrollar y/o aplicar su investigación, tales como la Spin-off, parques tecnológicos o ciudadelas de conocimiento</w:t>
      </w:r>
      <w:r w:rsidR="00CA1A09" w:rsidRPr="005D10C1">
        <w:rPr>
          <w:rFonts w:ascii="Candara" w:hAnsi="Candara"/>
        </w:rPr>
        <w:t xml:space="preserve"> </w:t>
      </w:r>
      <w:r w:rsidR="003B0D24" w:rsidRPr="005D10C1">
        <w:rPr>
          <w:rFonts w:ascii="Candara" w:hAnsi="Candara"/>
        </w:rPr>
        <w:fldChar w:fldCharType="begin" w:fldLock="1"/>
      </w:r>
      <w:r w:rsidR="00CA1A09" w:rsidRPr="005D10C1">
        <w:rPr>
          <w:rFonts w:ascii="Candara" w:hAnsi="Candara"/>
        </w:rPr>
        <w:instrText>ADDIN CSL_CITATION { "citationItems" : [ { "id" : "ITEM-1", "itemData" : { "author" : [ { "dropping-particle" : "", "family" : "Tamayo", "given" : "Luz", "non-dropping-particle" : "", "parse-names" : false, "suffix" : "" } ], "id" : "ITEM-1", "issued" : { "date-parts" : [ [ "2011" ] ] }, "page" : "102", "publisher" : "Universidad Nacional de Colombia", "title" : "Condiciones institucionales para la creaci\u00f3n de una spin-off acad\u00e9mica: Caso, la Facultad de Minas de la Universidad Nacional de Colombia", "type" : "thesis" }, "uris" : [ "http://www.mendeley.com/documents/?uuid=a2eea0ab-162d-42d3-8bb6-2390ee5fc446" ] } ], "mendeley" : { "previouslyFormattedCitation" : "(Tamayo, 2011)" }, "properties" : { "noteIndex" : 0 }, "schema" : "https://github.com/citation-style-language/schema/raw/master/csl-citation.json" }</w:instrText>
      </w:r>
      <w:r w:rsidR="003B0D24" w:rsidRPr="005D10C1">
        <w:rPr>
          <w:rFonts w:ascii="Candara" w:hAnsi="Candara"/>
        </w:rPr>
        <w:fldChar w:fldCharType="separate"/>
      </w:r>
      <w:r w:rsidR="00CA1A09" w:rsidRPr="005D10C1">
        <w:rPr>
          <w:rFonts w:ascii="Candara" w:hAnsi="Candara"/>
          <w:noProof/>
        </w:rPr>
        <w:t>(Tamayo, 2011)</w:t>
      </w:r>
      <w:r w:rsidR="003B0D24" w:rsidRPr="005D10C1">
        <w:rPr>
          <w:rFonts w:ascii="Candara" w:hAnsi="Candara"/>
        </w:rPr>
        <w:fldChar w:fldCharType="end"/>
      </w:r>
      <w:r w:rsidR="00102323" w:rsidRPr="005D10C1">
        <w:rPr>
          <w:rFonts w:ascii="Candara" w:hAnsi="Candara"/>
        </w:rPr>
        <w:t xml:space="preserve">. </w:t>
      </w:r>
    </w:p>
    <w:p w14:paraId="7C7BE0C3" w14:textId="77777777" w:rsidR="004A6FA5" w:rsidRPr="005D10C1" w:rsidRDefault="004A6FA5" w:rsidP="00E60A2B">
      <w:pPr>
        <w:spacing w:line="360" w:lineRule="auto"/>
        <w:rPr>
          <w:rFonts w:ascii="Candara" w:hAnsi="Candara"/>
        </w:rPr>
      </w:pPr>
    </w:p>
    <w:p w14:paraId="376A9419" w14:textId="77777777" w:rsidR="00E00F54" w:rsidRPr="005D10C1" w:rsidRDefault="00545E51" w:rsidP="00E60A2B">
      <w:pPr>
        <w:spacing w:line="360" w:lineRule="auto"/>
        <w:rPr>
          <w:rFonts w:ascii="Candara" w:hAnsi="Candara"/>
        </w:rPr>
      </w:pPr>
      <w:r w:rsidRPr="005D10C1">
        <w:rPr>
          <w:rFonts w:ascii="Candara" w:hAnsi="Candara"/>
        </w:rPr>
        <w:t>Martínez</w:t>
      </w:r>
      <w:r w:rsidR="0085175C" w:rsidRPr="005D10C1">
        <w:rPr>
          <w:rFonts w:ascii="Candara" w:hAnsi="Candara"/>
        </w:rPr>
        <w:t xml:space="preserve"> (2013) establece que </w:t>
      </w:r>
      <w:r w:rsidR="00FE27E2" w:rsidRPr="005D10C1">
        <w:rPr>
          <w:rFonts w:ascii="Candara" w:hAnsi="Candara"/>
        </w:rPr>
        <w:t xml:space="preserve">la creación de </w:t>
      </w:r>
      <w:r w:rsidR="00FE27E2" w:rsidRPr="005D10C1">
        <w:rPr>
          <w:rFonts w:ascii="Candara" w:hAnsi="Candara"/>
          <w:i/>
        </w:rPr>
        <w:t xml:space="preserve">spin-off </w:t>
      </w:r>
      <w:r w:rsidR="00FE27E2" w:rsidRPr="005D10C1">
        <w:rPr>
          <w:rFonts w:ascii="Candara" w:hAnsi="Candara"/>
        </w:rPr>
        <w:t>de la Universidad Nacional, la Constitución Política y la Ley establecen limitaciones a la posibilidad del ejercicio de actividades privadas de forma simultánea al ejercicio de la función pública, que afectan, de diversa forma, tanto a la posibilidad de participar en el capital social o pertenecer al consejo de administración de una sociedad privada, como al desempeño de actividades privadas por cuenta propia o bajo la dependencia de terceras personas.</w:t>
      </w:r>
      <w:r w:rsidR="00725B0E" w:rsidRPr="005D10C1">
        <w:rPr>
          <w:rFonts w:ascii="Candara" w:hAnsi="Candara"/>
        </w:rPr>
        <w:t xml:space="preserve"> Además el acuerdo 016 de 2005 del Consejo Superior Universitario señala las incompatibilidades de los servidores públicos de </w:t>
      </w:r>
      <w:r w:rsidR="0085175C" w:rsidRPr="005D10C1">
        <w:rPr>
          <w:rFonts w:ascii="Candara" w:hAnsi="Candara"/>
        </w:rPr>
        <w:t>e</w:t>
      </w:r>
      <w:r w:rsidR="00725B0E" w:rsidRPr="005D10C1">
        <w:rPr>
          <w:rFonts w:ascii="Candara" w:hAnsi="Candara"/>
        </w:rPr>
        <w:t>sta institución.</w:t>
      </w:r>
      <w:r w:rsidR="0085175C" w:rsidRPr="005D10C1">
        <w:rPr>
          <w:rFonts w:ascii="Candara" w:hAnsi="Candara"/>
        </w:rPr>
        <w:t xml:space="preserve"> Por tanto, ni legalmente ni estatutariamente está permitido a los miembros del personal académico suscribir contratos con la Universidad Nacional de Colombia. En este orden de ideas, </w:t>
      </w:r>
      <w:r w:rsidR="00882D21" w:rsidRPr="005D10C1">
        <w:rPr>
          <w:rFonts w:ascii="Candara" w:hAnsi="Candara"/>
        </w:rPr>
        <w:t xml:space="preserve">lo anterior establece </w:t>
      </w:r>
      <w:r w:rsidR="0085175C" w:rsidRPr="005D10C1">
        <w:rPr>
          <w:rFonts w:ascii="Candara" w:hAnsi="Candara"/>
        </w:rPr>
        <w:t xml:space="preserve">un impedimento </w:t>
      </w:r>
      <w:r w:rsidR="00882D21" w:rsidRPr="005D10C1">
        <w:rPr>
          <w:rFonts w:ascii="Candara" w:hAnsi="Candara"/>
        </w:rPr>
        <w:t xml:space="preserve">en la creación de </w:t>
      </w:r>
      <w:r w:rsidR="00882D21" w:rsidRPr="005D10C1">
        <w:rPr>
          <w:rFonts w:ascii="Candara" w:hAnsi="Candara"/>
          <w:i/>
        </w:rPr>
        <w:t>spin-off</w:t>
      </w:r>
      <w:r w:rsidR="00882D21" w:rsidRPr="005D10C1">
        <w:rPr>
          <w:rFonts w:ascii="Candara" w:hAnsi="Candara"/>
        </w:rPr>
        <w:t xml:space="preserve"> en la </w:t>
      </w:r>
      <w:r w:rsidR="0085175C" w:rsidRPr="005D10C1">
        <w:rPr>
          <w:rFonts w:ascii="Candara" w:hAnsi="Candara"/>
        </w:rPr>
        <w:t>Universidad Nacional de Colombia</w:t>
      </w:r>
      <w:r w:rsidR="000E735B" w:rsidRPr="005D10C1">
        <w:rPr>
          <w:rFonts w:ascii="Candara" w:hAnsi="Candara"/>
        </w:rPr>
        <w:t xml:space="preserve">; esto se corrobora porque aún no han creado </w:t>
      </w:r>
      <w:r w:rsidR="0085175C" w:rsidRPr="005D10C1">
        <w:rPr>
          <w:rFonts w:ascii="Candara" w:hAnsi="Candara"/>
        </w:rPr>
        <w:t>compañías</w:t>
      </w:r>
      <w:r w:rsidRPr="005D10C1">
        <w:rPr>
          <w:rFonts w:ascii="Candara" w:hAnsi="Candara"/>
        </w:rPr>
        <w:t xml:space="preserve"> </w:t>
      </w:r>
      <w:r w:rsidR="00CC3720" w:rsidRPr="005D10C1">
        <w:rPr>
          <w:rFonts w:ascii="Candara" w:hAnsi="Candara"/>
        </w:rPr>
        <w:t xml:space="preserve">de </w:t>
      </w:r>
      <w:r w:rsidR="000E735B" w:rsidRPr="005D10C1">
        <w:rPr>
          <w:rFonts w:ascii="Candara" w:hAnsi="Candara"/>
        </w:rPr>
        <w:t xml:space="preserve">estas características </w:t>
      </w:r>
      <w:r w:rsidR="003B0D24" w:rsidRPr="005D10C1">
        <w:rPr>
          <w:rFonts w:ascii="Candara" w:hAnsi="Candara"/>
        </w:rPr>
        <w:fldChar w:fldCharType="begin" w:fldLock="1"/>
      </w:r>
      <w:r w:rsidR="00CA1A09" w:rsidRPr="005D10C1">
        <w:rPr>
          <w:rFonts w:ascii="Candara" w:hAnsi="Candara"/>
        </w:rPr>
        <w:instrText>ADDIN CSL_CITATION { "citationItems" : [ { "id" : "ITEM-1", "itemData" : { "author" : [ { "dropping-particle" : "", "family" : "Martinez", "given" : "Laura", "non-dropping-particle" : "", "parse-names" : false, "suffix" : "" } ], "id" : "ITEM-1", "issued" : { "date-parts" : [ [ "2013" ] ] }, "publisher" : "Universidad de Antioquia", "title" : "Panorama de la creaci\u00f3n de spin off universitarias h\u00edbridas en la Universidad Nacional de Colombia sede Medell\u00edn", "type" : "thesis" }, "uris" : [ "http://www.mendeley.com/documents/?uuid=97a4b764-d237-4d07-9305-b688b7e43229" ] } ], "mendeley" : { "previouslyFormattedCitation" : "(Martinez, 2013)" }, "properties" : { "noteIndex" : 0 }, "schema" : "https://github.com/citation-style-language/schema/raw/master/csl-citation.json" }</w:instrText>
      </w:r>
      <w:r w:rsidR="003B0D24" w:rsidRPr="005D10C1">
        <w:rPr>
          <w:rFonts w:ascii="Candara" w:hAnsi="Candara"/>
        </w:rPr>
        <w:fldChar w:fldCharType="separate"/>
      </w:r>
      <w:r w:rsidR="000E735B" w:rsidRPr="005D10C1">
        <w:rPr>
          <w:rFonts w:ascii="Candara" w:hAnsi="Candara"/>
          <w:noProof/>
        </w:rPr>
        <w:t>(Martinez, 2013)</w:t>
      </w:r>
      <w:r w:rsidR="003B0D24" w:rsidRPr="005D10C1">
        <w:rPr>
          <w:rFonts w:ascii="Candara" w:hAnsi="Candara"/>
        </w:rPr>
        <w:fldChar w:fldCharType="end"/>
      </w:r>
      <w:r w:rsidR="0085175C" w:rsidRPr="005D10C1">
        <w:rPr>
          <w:rFonts w:ascii="Candara" w:hAnsi="Candara"/>
        </w:rPr>
        <w:t>.</w:t>
      </w:r>
    </w:p>
    <w:p w14:paraId="0EC05548" w14:textId="77777777" w:rsidR="004A6FA5" w:rsidRPr="005D10C1" w:rsidRDefault="004A6FA5" w:rsidP="00E60A2B">
      <w:pPr>
        <w:spacing w:line="360" w:lineRule="auto"/>
        <w:rPr>
          <w:rFonts w:ascii="Candara" w:hAnsi="Candara"/>
        </w:rPr>
      </w:pPr>
    </w:p>
    <w:p w14:paraId="0394689A" w14:textId="77777777" w:rsidR="004A6FA5" w:rsidRPr="005D10C1" w:rsidRDefault="004C527F" w:rsidP="00E3118E">
      <w:pPr>
        <w:pStyle w:val="Ttulo3"/>
        <w:rPr>
          <w:rFonts w:ascii="Candara" w:hAnsi="Candara"/>
          <w:i/>
          <w:color w:val="auto"/>
        </w:rPr>
      </w:pPr>
      <w:bookmarkStart w:id="284" w:name="_Toc377653161"/>
      <w:r w:rsidRPr="005D10C1">
        <w:rPr>
          <w:rFonts w:ascii="Candara" w:hAnsi="Candara"/>
          <w:i/>
          <w:color w:val="auto"/>
        </w:rPr>
        <w:t>Universidad Industrial del Santander</w:t>
      </w:r>
      <w:r w:rsidR="00B859A5" w:rsidRPr="005D10C1">
        <w:rPr>
          <w:rFonts w:ascii="Candara" w:hAnsi="Candara"/>
          <w:i/>
          <w:color w:val="auto"/>
        </w:rPr>
        <w:t>- UIS</w:t>
      </w:r>
      <w:bookmarkEnd w:id="284"/>
    </w:p>
    <w:p w14:paraId="6F7D8D52" w14:textId="77777777" w:rsidR="006B6840" w:rsidRPr="005D10C1" w:rsidRDefault="006B6840" w:rsidP="00E60A2B">
      <w:pPr>
        <w:spacing w:line="360" w:lineRule="auto"/>
        <w:rPr>
          <w:rFonts w:ascii="Candara" w:hAnsi="Candara"/>
          <w:b/>
          <w:i/>
        </w:rPr>
      </w:pPr>
    </w:p>
    <w:p w14:paraId="3EA37787" w14:textId="77777777" w:rsidR="00AF6277" w:rsidRPr="005D10C1" w:rsidRDefault="00AF6277" w:rsidP="00AF6277">
      <w:pPr>
        <w:autoSpaceDE w:val="0"/>
        <w:autoSpaceDN w:val="0"/>
        <w:adjustRightInd w:val="0"/>
        <w:spacing w:line="360" w:lineRule="auto"/>
        <w:rPr>
          <w:rFonts w:ascii="Candara" w:hAnsi="Candara"/>
        </w:rPr>
      </w:pPr>
      <w:r w:rsidRPr="005D10C1">
        <w:rPr>
          <w:rFonts w:ascii="Candara" w:hAnsi="Candara"/>
        </w:rPr>
        <w:t xml:space="preserve">La UIS cuenta aproximadamente con ochenta grupos de investigación enfocados en distintas áreas y la oficina de transferencia de conocimiento. </w:t>
      </w:r>
    </w:p>
    <w:p w14:paraId="202D4FE2" w14:textId="77777777" w:rsidR="00AF6277" w:rsidRPr="005D10C1" w:rsidRDefault="00AF6277" w:rsidP="00AF6277">
      <w:pPr>
        <w:autoSpaceDE w:val="0"/>
        <w:autoSpaceDN w:val="0"/>
        <w:adjustRightInd w:val="0"/>
        <w:spacing w:line="360" w:lineRule="auto"/>
        <w:rPr>
          <w:rFonts w:ascii="Candara" w:hAnsi="Candara"/>
        </w:rPr>
      </w:pPr>
      <w:r w:rsidRPr="005D10C1">
        <w:rPr>
          <w:rFonts w:ascii="Candara" w:hAnsi="Candara"/>
        </w:rPr>
        <w:lastRenderedPageBreak/>
        <w:t>Como parte de la labor en investigación, la universidad permite a los profesores y estudiantes investigar ya sea por iniciativa propia, por temas relacionados con los estudios de pregrado, maestría o doctorado o como apoyo a los servicios de extensión que se prestan a la comunidad. La UIS proporciona grandes recursos para los procesos de investigación, entre ellos se resaltan la financiación de proyectos, acceso de recursos electrónicos y becas de posgrado.</w:t>
      </w:r>
    </w:p>
    <w:p w14:paraId="055E62C7" w14:textId="77777777" w:rsidR="00AF6277" w:rsidRPr="005D10C1" w:rsidRDefault="00AF6277" w:rsidP="00AF6277">
      <w:pPr>
        <w:autoSpaceDE w:val="0"/>
        <w:autoSpaceDN w:val="0"/>
        <w:adjustRightInd w:val="0"/>
        <w:spacing w:line="360" w:lineRule="auto"/>
        <w:rPr>
          <w:rFonts w:ascii="Candara" w:hAnsi="Candara"/>
        </w:rPr>
      </w:pPr>
    </w:p>
    <w:p w14:paraId="11001F53" w14:textId="77777777" w:rsidR="00AF6277" w:rsidRPr="005D10C1" w:rsidRDefault="00AF6277" w:rsidP="00AF6277">
      <w:pPr>
        <w:autoSpaceDE w:val="0"/>
        <w:autoSpaceDN w:val="0"/>
        <w:adjustRightInd w:val="0"/>
        <w:spacing w:line="360" w:lineRule="auto"/>
        <w:rPr>
          <w:rFonts w:ascii="Candara" w:hAnsi="Candara"/>
        </w:rPr>
      </w:pPr>
      <w:r w:rsidRPr="005D10C1">
        <w:rPr>
          <w:rFonts w:ascii="Candara" w:hAnsi="Candara"/>
        </w:rPr>
        <w:t xml:space="preserve">Una motivación para comercializar la investigación son los incentivos que les brindan a los investigadores en las utilidades. Si una tecnología de la UIS ha sido patentada por su desarrollador, y tiene objeto de comercialización, se le reconoce al investigador el 40% de las utilidades, 20% para el grupo que desarrolló la tecnología, 20% para proyectos prioritarios de rectoría y 20% para temas de investigación de la vicerrectoría de investigación y extensión (Acuerdo 93 de 2010). </w:t>
      </w:r>
    </w:p>
    <w:p w14:paraId="4CBE5B04" w14:textId="77777777" w:rsidR="00AF6277" w:rsidRPr="005D10C1" w:rsidRDefault="00AF6277" w:rsidP="00AF6277">
      <w:pPr>
        <w:autoSpaceDE w:val="0"/>
        <w:autoSpaceDN w:val="0"/>
        <w:adjustRightInd w:val="0"/>
        <w:spacing w:line="240" w:lineRule="auto"/>
        <w:jc w:val="left"/>
        <w:rPr>
          <w:rFonts w:ascii="Candara" w:hAnsi="Candara"/>
        </w:rPr>
      </w:pPr>
    </w:p>
    <w:p w14:paraId="3DB67435" w14:textId="77777777" w:rsidR="00AF6277" w:rsidRPr="005D10C1" w:rsidRDefault="00AF6277" w:rsidP="00AF6277">
      <w:pPr>
        <w:autoSpaceDE w:val="0"/>
        <w:autoSpaceDN w:val="0"/>
        <w:adjustRightInd w:val="0"/>
        <w:spacing w:line="240" w:lineRule="auto"/>
        <w:jc w:val="left"/>
        <w:rPr>
          <w:rFonts w:ascii="Candara" w:hAnsi="Candara"/>
        </w:rPr>
      </w:pPr>
    </w:p>
    <w:p w14:paraId="1B94E13C" w14:textId="77777777" w:rsidR="00B859A5" w:rsidRPr="005D10C1" w:rsidRDefault="001D6AE3" w:rsidP="00E60A2B">
      <w:pPr>
        <w:spacing w:line="360" w:lineRule="auto"/>
        <w:rPr>
          <w:rFonts w:ascii="Candara" w:hAnsi="Candara"/>
        </w:rPr>
      </w:pPr>
      <w:r w:rsidRPr="005D10C1">
        <w:rPr>
          <w:rFonts w:ascii="Candara" w:hAnsi="Candara"/>
        </w:rPr>
        <w:t xml:space="preserve">Pinto (2012) </w:t>
      </w:r>
      <w:r w:rsidR="00B859A5" w:rsidRPr="005D10C1">
        <w:rPr>
          <w:rFonts w:ascii="Candara" w:hAnsi="Candara"/>
        </w:rPr>
        <w:t>señala</w:t>
      </w:r>
      <w:r w:rsidRPr="005D10C1">
        <w:rPr>
          <w:rFonts w:ascii="Candara" w:hAnsi="Candara"/>
        </w:rPr>
        <w:t xml:space="preserve"> que l</w:t>
      </w:r>
      <w:r w:rsidR="00805A55" w:rsidRPr="005D10C1">
        <w:rPr>
          <w:rFonts w:ascii="Candara" w:hAnsi="Candara"/>
        </w:rPr>
        <w:t xml:space="preserve">a UIS no ha incursionado en la creación de </w:t>
      </w:r>
      <w:r w:rsidR="00805A55" w:rsidRPr="005D10C1">
        <w:rPr>
          <w:rFonts w:ascii="Candara" w:hAnsi="Candara"/>
          <w:i/>
        </w:rPr>
        <w:t xml:space="preserve">spin off </w:t>
      </w:r>
      <w:r w:rsidR="00805A55" w:rsidRPr="005D10C1">
        <w:rPr>
          <w:rFonts w:ascii="Candara" w:hAnsi="Candara"/>
        </w:rPr>
        <w:t>por considerar que falta</w:t>
      </w:r>
      <w:r w:rsidR="00B859A5" w:rsidRPr="005D10C1">
        <w:rPr>
          <w:rFonts w:ascii="Candara" w:hAnsi="Candara"/>
        </w:rPr>
        <w:t xml:space="preserve"> </w:t>
      </w:r>
      <w:r w:rsidR="00805A55" w:rsidRPr="005D10C1">
        <w:rPr>
          <w:rFonts w:ascii="Candara" w:hAnsi="Candara"/>
        </w:rPr>
        <w:t>claridad en la ley colombiana que autorice a las universidades públicas a</w:t>
      </w:r>
      <w:r w:rsidR="00B859A5" w:rsidRPr="005D10C1">
        <w:rPr>
          <w:rFonts w:ascii="Candara" w:hAnsi="Candara"/>
        </w:rPr>
        <w:t xml:space="preserve"> </w:t>
      </w:r>
      <w:r w:rsidR="00805A55" w:rsidRPr="005D10C1">
        <w:rPr>
          <w:rFonts w:ascii="Candara" w:hAnsi="Candara"/>
        </w:rPr>
        <w:t xml:space="preserve">abordar este tipo de transferencia tecnológica. </w:t>
      </w:r>
      <w:r w:rsidR="00536D1A" w:rsidRPr="005D10C1">
        <w:rPr>
          <w:rFonts w:ascii="Candara" w:hAnsi="Candara"/>
        </w:rPr>
        <w:t xml:space="preserve">Por tanto, </w:t>
      </w:r>
      <w:r w:rsidR="00805A55" w:rsidRPr="005D10C1">
        <w:rPr>
          <w:rFonts w:ascii="Candara" w:hAnsi="Candara"/>
        </w:rPr>
        <w:t>contempla la comercialización de los resultados de investigación a través de</w:t>
      </w:r>
      <w:r w:rsidR="00B859A5" w:rsidRPr="005D10C1">
        <w:rPr>
          <w:rFonts w:ascii="Candara" w:hAnsi="Candara"/>
        </w:rPr>
        <w:t xml:space="preserve"> </w:t>
      </w:r>
      <w:r w:rsidR="00805A55" w:rsidRPr="005D10C1">
        <w:rPr>
          <w:rFonts w:ascii="Candara" w:hAnsi="Candara"/>
        </w:rPr>
        <w:t xml:space="preserve">la licencia o venta de la propiedad intelectual protegida. </w:t>
      </w:r>
      <w:r w:rsidR="006B6840" w:rsidRPr="005D10C1">
        <w:rPr>
          <w:rFonts w:ascii="Candara" w:hAnsi="Candara"/>
        </w:rPr>
        <w:t xml:space="preserve">Esta universidad posee como opción </w:t>
      </w:r>
      <w:r w:rsidR="00805A55" w:rsidRPr="005D10C1">
        <w:rPr>
          <w:rFonts w:ascii="Candara" w:hAnsi="Candara"/>
        </w:rPr>
        <w:t>ofrecer ciertos productos a través de “La Tienda Universitaria” o como servicio de las unidades académicas de la universidad;</w:t>
      </w:r>
      <w:r w:rsidR="00B859A5" w:rsidRPr="005D10C1">
        <w:rPr>
          <w:rFonts w:ascii="Candara" w:hAnsi="Candara"/>
        </w:rPr>
        <w:t xml:space="preserve"> </w:t>
      </w:r>
      <w:r w:rsidR="00805A55" w:rsidRPr="005D10C1">
        <w:rPr>
          <w:rFonts w:ascii="Candara" w:hAnsi="Candara"/>
        </w:rPr>
        <w:t>en este caso</w:t>
      </w:r>
      <w:r w:rsidR="00B859A5" w:rsidRPr="005D10C1">
        <w:rPr>
          <w:rFonts w:ascii="Candara" w:hAnsi="Candara"/>
        </w:rPr>
        <w:t>,</w:t>
      </w:r>
      <w:r w:rsidR="00805A55" w:rsidRPr="005D10C1">
        <w:rPr>
          <w:rFonts w:ascii="Candara" w:hAnsi="Candara"/>
        </w:rPr>
        <w:t xml:space="preserve"> la universidad y el investigador podrían recibir ganancias por las</w:t>
      </w:r>
      <w:r w:rsidR="00B859A5" w:rsidRPr="005D10C1">
        <w:rPr>
          <w:rFonts w:ascii="Candara" w:hAnsi="Candara"/>
        </w:rPr>
        <w:t xml:space="preserve"> </w:t>
      </w:r>
      <w:r w:rsidR="00805A55" w:rsidRPr="005D10C1">
        <w:rPr>
          <w:rFonts w:ascii="Candara" w:hAnsi="Candara"/>
        </w:rPr>
        <w:t>ventas realizadas en los mismos porcentajes de las licencias.</w:t>
      </w:r>
    </w:p>
    <w:p w14:paraId="39917551" w14:textId="77777777" w:rsidR="00B859A5" w:rsidRPr="005D10C1" w:rsidRDefault="00B859A5" w:rsidP="00E60A2B">
      <w:pPr>
        <w:spacing w:line="360" w:lineRule="auto"/>
        <w:rPr>
          <w:rFonts w:ascii="Candara" w:hAnsi="Candara"/>
        </w:rPr>
      </w:pPr>
    </w:p>
    <w:p w14:paraId="1C4E78F3" w14:textId="77777777" w:rsidR="0081173D" w:rsidRPr="005D10C1" w:rsidRDefault="0081173D" w:rsidP="00E60A2B">
      <w:pPr>
        <w:autoSpaceDE w:val="0"/>
        <w:autoSpaceDN w:val="0"/>
        <w:adjustRightInd w:val="0"/>
        <w:spacing w:line="360" w:lineRule="auto"/>
        <w:rPr>
          <w:rFonts w:ascii="Candara" w:hAnsi="Candara"/>
        </w:rPr>
      </w:pPr>
      <w:r w:rsidRPr="005D10C1">
        <w:rPr>
          <w:rFonts w:ascii="Candara" w:hAnsi="Candara"/>
        </w:rPr>
        <w:t xml:space="preserve">En el caso de crear </w:t>
      </w:r>
      <w:r w:rsidRPr="005D10C1">
        <w:rPr>
          <w:rFonts w:ascii="Candara" w:hAnsi="Candara"/>
          <w:i/>
        </w:rPr>
        <w:t>spin off</w:t>
      </w:r>
      <w:r w:rsidRPr="005D10C1">
        <w:rPr>
          <w:rFonts w:ascii="Candara" w:hAnsi="Candara"/>
        </w:rPr>
        <w:t xml:space="preserve">, </w:t>
      </w:r>
      <w:r w:rsidR="00536D1A" w:rsidRPr="005D10C1">
        <w:rPr>
          <w:rFonts w:ascii="Candara" w:hAnsi="Candara"/>
        </w:rPr>
        <w:t xml:space="preserve">la </w:t>
      </w:r>
      <w:r w:rsidRPr="005D10C1">
        <w:rPr>
          <w:rFonts w:ascii="Candara" w:hAnsi="Candara"/>
        </w:rPr>
        <w:t xml:space="preserve">universidad establece </w:t>
      </w:r>
      <w:r w:rsidR="00EB1744" w:rsidRPr="005D10C1">
        <w:rPr>
          <w:rFonts w:ascii="Candara" w:hAnsi="Candara"/>
        </w:rPr>
        <w:t>que no lo hará</w:t>
      </w:r>
      <w:r w:rsidRPr="005D10C1">
        <w:rPr>
          <w:rFonts w:ascii="Candara" w:hAnsi="Candara"/>
        </w:rPr>
        <w:t xml:space="preserve"> como</w:t>
      </w:r>
      <w:r w:rsidR="00B859A5" w:rsidRPr="005D10C1">
        <w:rPr>
          <w:rFonts w:ascii="Candara" w:hAnsi="Candara"/>
        </w:rPr>
        <w:t xml:space="preserve"> </w:t>
      </w:r>
      <w:r w:rsidRPr="005D10C1">
        <w:rPr>
          <w:rFonts w:ascii="Candara" w:hAnsi="Candara"/>
        </w:rPr>
        <w:t xml:space="preserve">socia gestora </w:t>
      </w:r>
      <w:r w:rsidR="00536D1A" w:rsidRPr="005D10C1">
        <w:rPr>
          <w:rFonts w:ascii="Candara" w:hAnsi="Candara"/>
        </w:rPr>
        <w:t>pues</w:t>
      </w:r>
      <w:r w:rsidRPr="005D10C1">
        <w:rPr>
          <w:rFonts w:ascii="Candara" w:hAnsi="Candara"/>
        </w:rPr>
        <w:t xml:space="preserve"> es </w:t>
      </w:r>
      <w:r w:rsidR="00B04E75" w:rsidRPr="005D10C1">
        <w:rPr>
          <w:rFonts w:ascii="Candara" w:hAnsi="Candara"/>
        </w:rPr>
        <w:t>complejo</w:t>
      </w:r>
      <w:r w:rsidRPr="005D10C1">
        <w:rPr>
          <w:rFonts w:ascii="Candara" w:hAnsi="Candara"/>
        </w:rPr>
        <w:t xml:space="preserve"> delegar a miembros de su</w:t>
      </w:r>
      <w:r w:rsidR="00B859A5" w:rsidRPr="005D10C1">
        <w:rPr>
          <w:rFonts w:ascii="Candara" w:hAnsi="Candara"/>
        </w:rPr>
        <w:t xml:space="preserve"> </w:t>
      </w:r>
      <w:r w:rsidRPr="005D10C1">
        <w:rPr>
          <w:rFonts w:ascii="Candara" w:hAnsi="Candara"/>
        </w:rPr>
        <w:t>personal</w:t>
      </w:r>
      <w:r w:rsidR="00B859A5" w:rsidRPr="005D10C1">
        <w:rPr>
          <w:rFonts w:ascii="Candara" w:hAnsi="Candara"/>
        </w:rPr>
        <w:t xml:space="preserve"> </w:t>
      </w:r>
      <w:r w:rsidRPr="005D10C1">
        <w:rPr>
          <w:rFonts w:ascii="Candara" w:hAnsi="Candara"/>
        </w:rPr>
        <w:t>académico para ejercer funciones de gerencia. Sin</w:t>
      </w:r>
      <w:r w:rsidR="00B859A5" w:rsidRPr="005D10C1">
        <w:rPr>
          <w:rFonts w:ascii="Candara" w:hAnsi="Candara"/>
        </w:rPr>
        <w:t xml:space="preserve"> </w:t>
      </w:r>
      <w:r w:rsidRPr="005D10C1">
        <w:rPr>
          <w:rFonts w:ascii="Candara" w:hAnsi="Candara"/>
        </w:rPr>
        <w:t xml:space="preserve">embargo, </w:t>
      </w:r>
      <w:r w:rsidR="00B04E75" w:rsidRPr="005D10C1">
        <w:rPr>
          <w:rFonts w:ascii="Candara" w:hAnsi="Candara"/>
        </w:rPr>
        <w:t xml:space="preserve">la </w:t>
      </w:r>
      <w:r w:rsidR="00B859A5" w:rsidRPr="005D10C1">
        <w:rPr>
          <w:rFonts w:ascii="Candara" w:hAnsi="Candara"/>
        </w:rPr>
        <w:t>U</w:t>
      </w:r>
      <w:r w:rsidR="00B04E75" w:rsidRPr="005D10C1">
        <w:rPr>
          <w:rFonts w:ascii="Candara" w:hAnsi="Candara"/>
        </w:rPr>
        <w:t xml:space="preserve">niversidad puede </w:t>
      </w:r>
      <w:r w:rsidRPr="005D10C1">
        <w:rPr>
          <w:rFonts w:ascii="Candara" w:hAnsi="Candara"/>
        </w:rPr>
        <w:t>participar en las</w:t>
      </w:r>
      <w:r w:rsidR="00B859A5" w:rsidRPr="005D10C1">
        <w:rPr>
          <w:rFonts w:ascii="Candara" w:hAnsi="Candara"/>
        </w:rPr>
        <w:t xml:space="preserve"> </w:t>
      </w:r>
      <w:r w:rsidRPr="005D10C1">
        <w:rPr>
          <w:rFonts w:ascii="Candara" w:hAnsi="Candara"/>
        </w:rPr>
        <w:t xml:space="preserve">juntas directivas de las nuevas empresas y ayudar </w:t>
      </w:r>
      <w:r w:rsidR="00B04E75" w:rsidRPr="005D10C1">
        <w:rPr>
          <w:rFonts w:ascii="Candara" w:hAnsi="Candara"/>
        </w:rPr>
        <w:t>en su direccionamiento</w:t>
      </w:r>
      <w:r w:rsidRPr="005D10C1">
        <w:rPr>
          <w:rFonts w:ascii="Candara" w:hAnsi="Candara"/>
        </w:rPr>
        <w:t>.</w:t>
      </w:r>
      <w:r w:rsidR="00B859A5" w:rsidRPr="005D10C1">
        <w:rPr>
          <w:rFonts w:ascii="Candara" w:hAnsi="Candara"/>
        </w:rPr>
        <w:t xml:space="preserve"> </w:t>
      </w:r>
      <w:r w:rsidRPr="005D10C1">
        <w:rPr>
          <w:rFonts w:ascii="Candara" w:hAnsi="Candara"/>
        </w:rPr>
        <w:t>Independiente d</w:t>
      </w:r>
      <w:r w:rsidR="00B859A5" w:rsidRPr="005D10C1">
        <w:rPr>
          <w:rFonts w:ascii="Candara" w:hAnsi="Candara"/>
        </w:rPr>
        <w:t xml:space="preserve"> </w:t>
      </w:r>
      <w:r w:rsidRPr="005D10C1">
        <w:rPr>
          <w:rFonts w:ascii="Candara" w:hAnsi="Candara"/>
        </w:rPr>
        <w:t>el</w:t>
      </w:r>
      <w:r w:rsidR="00B04E75" w:rsidRPr="005D10C1">
        <w:rPr>
          <w:rFonts w:ascii="Candara" w:hAnsi="Candara"/>
        </w:rPr>
        <w:t>a barrera jurídica</w:t>
      </w:r>
      <w:r w:rsidRPr="005D10C1">
        <w:rPr>
          <w:rFonts w:ascii="Candara" w:hAnsi="Candara"/>
        </w:rPr>
        <w:t xml:space="preserve">, </w:t>
      </w:r>
      <w:r w:rsidR="00B04E75" w:rsidRPr="005D10C1">
        <w:rPr>
          <w:rFonts w:ascii="Candara" w:hAnsi="Candara"/>
        </w:rPr>
        <w:lastRenderedPageBreak/>
        <w:t xml:space="preserve">la universidad </w:t>
      </w:r>
      <w:r w:rsidRPr="005D10C1">
        <w:rPr>
          <w:rFonts w:ascii="Candara" w:hAnsi="Candara"/>
        </w:rPr>
        <w:t xml:space="preserve">no tiene intención </w:t>
      </w:r>
      <w:r w:rsidR="00B04E75" w:rsidRPr="005D10C1">
        <w:rPr>
          <w:rFonts w:ascii="Candara" w:hAnsi="Candara"/>
        </w:rPr>
        <w:t>de participar</w:t>
      </w:r>
      <w:r w:rsidRPr="005D10C1">
        <w:rPr>
          <w:rFonts w:ascii="Candara" w:hAnsi="Candara"/>
        </w:rPr>
        <w:t xml:space="preserve"> como accionista de la </w:t>
      </w:r>
      <w:r w:rsidRPr="005D10C1">
        <w:rPr>
          <w:rFonts w:ascii="Candara" w:hAnsi="Candara"/>
          <w:i/>
        </w:rPr>
        <w:t>Spin Off</w:t>
      </w:r>
      <w:r w:rsidR="00B859A5" w:rsidRPr="005D10C1">
        <w:rPr>
          <w:rFonts w:ascii="Candara" w:hAnsi="Candara"/>
          <w:i/>
        </w:rPr>
        <w:t xml:space="preserve"> </w:t>
      </w:r>
      <w:r w:rsidR="00B04E75" w:rsidRPr="005D10C1">
        <w:rPr>
          <w:rFonts w:ascii="Candara" w:hAnsi="Candara"/>
        </w:rPr>
        <w:t xml:space="preserve">pues no </w:t>
      </w:r>
      <w:r w:rsidR="00EB1744" w:rsidRPr="005D10C1">
        <w:rPr>
          <w:rFonts w:ascii="Candara" w:hAnsi="Candara"/>
        </w:rPr>
        <w:t xml:space="preserve">está </w:t>
      </w:r>
      <w:r w:rsidRPr="005D10C1">
        <w:rPr>
          <w:rFonts w:ascii="Candara" w:hAnsi="Candara"/>
        </w:rPr>
        <w:t>en capacidad de asumir pérdidas económicas</w:t>
      </w:r>
      <w:r w:rsidR="008A7BEB" w:rsidRPr="005D10C1">
        <w:rPr>
          <w:rFonts w:ascii="Candara" w:hAnsi="Candara"/>
        </w:rPr>
        <w:t xml:space="preserve"> </w:t>
      </w:r>
      <w:r w:rsidR="003B0D24" w:rsidRPr="005D10C1">
        <w:rPr>
          <w:rFonts w:ascii="Candara" w:hAnsi="Candara"/>
        </w:rPr>
        <w:fldChar w:fldCharType="begin" w:fldLock="1"/>
      </w:r>
      <w:r w:rsidR="00CA1A09" w:rsidRPr="005D10C1">
        <w:rPr>
          <w:rFonts w:ascii="Candara" w:hAnsi="Candara"/>
        </w:rPr>
        <w:instrText>ADDIN CSL_CITATION { "citationItems" : [ { "id" : "ITEM-1", "itemData" : { "author" : [ { "dropping-particle" : "", "family" : "Pinto", "given" : "Leonardo", "non-dropping-particle" : "", "parse-names" : false, "suffix" : "" } ], "id" : "ITEM-1", "issued" : { "date-parts" : [ [ "2012" ] ] }, "page" : "225", "publisher" : "Universidad Industrial de Santander", "title" : "Estado del arte sobre la creaci\u00f3n y gesti\u00f3n de spin-off universitarias", "type" : "thesis" }, "uris" : [ "http://www.mendeley.com/documents/?uuid=60e97e28-d168-40e0-84a9-b8457407215d" ] } ], "mendeley" : { "previouslyFormattedCitation" : "(Pinto, 2012)" }, "properties" : { "noteIndex" : 0 }, "schema" : "https://github.com/citation-style-language/schema/raw/master/csl-citation.json" }</w:instrText>
      </w:r>
      <w:r w:rsidR="003B0D24" w:rsidRPr="005D10C1">
        <w:rPr>
          <w:rFonts w:ascii="Candara" w:hAnsi="Candara"/>
        </w:rPr>
        <w:fldChar w:fldCharType="separate"/>
      </w:r>
      <w:r w:rsidR="00DF2520" w:rsidRPr="005D10C1">
        <w:rPr>
          <w:rFonts w:ascii="Candara" w:hAnsi="Candara"/>
          <w:noProof/>
        </w:rPr>
        <w:t>(Pinto, 2012)</w:t>
      </w:r>
      <w:r w:rsidR="003B0D24" w:rsidRPr="005D10C1">
        <w:rPr>
          <w:rFonts w:ascii="Candara" w:hAnsi="Candara"/>
        </w:rPr>
        <w:fldChar w:fldCharType="end"/>
      </w:r>
      <w:r w:rsidRPr="005D10C1">
        <w:rPr>
          <w:rFonts w:ascii="Candara" w:hAnsi="Candara"/>
        </w:rPr>
        <w:t xml:space="preserve">. </w:t>
      </w:r>
    </w:p>
    <w:p w14:paraId="0982B190" w14:textId="77777777" w:rsidR="00B859A5" w:rsidRPr="005D10C1" w:rsidRDefault="00B859A5" w:rsidP="00E60A2B">
      <w:pPr>
        <w:autoSpaceDE w:val="0"/>
        <w:autoSpaceDN w:val="0"/>
        <w:adjustRightInd w:val="0"/>
        <w:spacing w:line="360" w:lineRule="auto"/>
        <w:rPr>
          <w:rFonts w:ascii="Candara" w:hAnsi="Candara"/>
        </w:rPr>
      </w:pPr>
    </w:p>
    <w:p w14:paraId="75E28606" w14:textId="77777777" w:rsidR="003D4BE7" w:rsidRPr="005D10C1" w:rsidRDefault="003D4BE7" w:rsidP="00E3118E">
      <w:pPr>
        <w:pStyle w:val="Ttulo3"/>
        <w:rPr>
          <w:rFonts w:ascii="Candara" w:hAnsi="Candara"/>
          <w:i/>
          <w:color w:val="auto"/>
        </w:rPr>
      </w:pPr>
      <w:bookmarkStart w:id="285" w:name="_Toc377653162"/>
      <w:r w:rsidRPr="005D10C1">
        <w:rPr>
          <w:rFonts w:ascii="Candara" w:hAnsi="Candara"/>
          <w:i/>
          <w:color w:val="auto"/>
        </w:rPr>
        <w:t>Universidad del Valle</w:t>
      </w:r>
      <w:bookmarkEnd w:id="285"/>
    </w:p>
    <w:p w14:paraId="0E3C9489" w14:textId="77777777" w:rsidR="007E2FD2" w:rsidRPr="005D10C1" w:rsidRDefault="007E2FD2" w:rsidP="00E60A2B">
      <w:pPr>
        <w:autoSpaceDE w:val="0"/>
        <w:autoSpaceDN w:val="0"/>
        <w:adjustRightInd w:val="0"/>
        <w:spacing w:line="360" w:lineRule="auto"/>
        <w:rPr>
          <w:rFonts w:ascii="Candara" w:hAnsi="Candara"/>
        </w:rPr>
      </w:pPr>
      <w:bookmarkStart w:id="286" w:name="_Toc365878860"/>
    </w:p>
    <w:p w14:paraId="451B0517" w14:textId="77777777" w:rsidR="003D4BE7" w:rsidRPr="005D10C1" w:rsidRDefault="003D4BE7" w:rsidP="00E60A2B">
      <w:pPr>
        <w:autoSpaceDE w:val="0"/>
        <w:autoSpaceDN w:val="0"/>
        <w:adjustRightInd w:val="0"/>
        <w:spacing w:line="360" w:lineRule="auto"/>
        <w:rPr>
          <w:rFonts w:ascii="Candara" w:hAnsi="Candara"/>
        </w:rPr>
      </w:pPr>
      <w:r w:rsidRPr="005D10C1">
        <w:rPr>
          <w:rFonts w:ascii="Candara" w:hAnsi="Candara"/>
        </w:rPr>
        <w:t>La Universidad del Valle cuenta con un agente importante denominado la OTRI la cual es la encargada de actuar como enlace entre la Universidad y el entorno socioeconómico, donde promueve y gestiona las relaciones entre grupos de investigación, laboratorios, centros de desarrollo tecnológico e institutos de la Universidad con el sector industrial e instituciones del sector público y privado. La OTRI se rige por unos Estatutos de Propiedad Intelectual, en los cuales se estipulan los lineamientos para la transferencia tecnológica</w:t>
      </w:r>
      <w:r w:rsidR="00D404AC" w:rsidRPr="005D10C1">
        <w:rPr>
          <w:rFonts w:ascii="Candara" w:hAnsi="Candara"/>
        </w:rPr>
        <w:t xml:space="preserve"> </w:t>
      </w:r>
      <w:r w:rsidR="003B0D24" w:rsidRPr="005D10C1">
        <w:rPr>
          <w:rFonts w:ascii="Candara" w:hAnsi="Candara"/>
        </w:rPr>
        <w:fldChar w:fldCharType="begin" w:fldLock="1"/>
      </w:r>
      <w:r w:rsidR="00CA1A09" w:rsidRPr="005D10C1">
        <w:rPr>
          <w:rFonts w:ascii="Candara" w:hAnsi="Candara"/>
        </w:rPr>
        <w:instrText>ADDIN CSL_CITATION { "citationItems" : [ { "id" : "ITEM-1", "itemData" : { "abstract" : "The purpose of this work is to develop a proposal for a model for creating spin-off companies in Valle University focusing on biotechnology. The investigation begins with the study and identification of the important factors for the development of spin-off, where he subsequently classified into strong and dependent variables. In Chapter II identifies external agents that can influence the process of creation of technology-based companies; in Chapter III identifies the internal agents possessing Valley University that may influence the model variables. Finally in Chapter IV shows the proposed model. As a result of the study shows that the University has potential in Biotechnology, further that this area is considered critical in the development plan of the Valle del Cauca, and that nationally there are some actors interested in the generation of biotechnology-based projects. However University lacks guidelines for transferring knowledge Spin Off; in this way we make a proposal of such guidelines for Valle University and finally the model is made according to the variables studied.", "author" : [ { "dropping-particle" : "", "family" : "Montenegro", "given" : "Diego", "non-dropping-particle" : "", "parse-names" : false, "suffix" : "" }, { "dropping-particle" : "", "family" : "Osorio", "given" : "Carlos", "non-dropping-particle" : "", "parse-names" : false, "suffix" : "" } ], "id" : "ITEM-1", "issued" : { "date-parts" : [ [ "2013" ] ] }, "publisher-place" : "Cali", "title" : "Modelo Spin Off en Biotecnolog\u00eda en la Universidad del Valle", "type" : "article" }, "uris" : [ "http://www.mendeley.com/documents/?uuid=5b3f0a4b-b7d9-42f3-80ad-f43a83cd78a4" ] } ], "mendeley" : { "previouslyFormattedCitation" : "(Montenegro &amp; Osorio, 2013)" }, "properties" : { "noteIndex" : 0 }, "schema" : "https://github.com/citation-style-language/schema/raw/master/csl-citation.json" }</w:instrText>
      </w:r>
      <w:r w:rsidR="003B0D24" w:rsidRPr="005D10C1">
        <w:rPr>
          <w:rFonts w:ascii="Candara" w:hAnsi="Candara"/>
        </w:rPr>
        <w:fldChar w:fldCharType="separate"/>
      </w:r>
      <w:r w:rsidR="002115D4" w:rsidRPr="005D10C1">
        <w:rPr>
          <w:rFonts w:ascii="Candara" w:hAnsi="Candara"/>
          <w:noProof/>
        </w:rPr>
        <w:t>(Montenegro &amp; Osorio, 2013)</w:t>
      </w:r>
      <w:r w:rsidR="003B0D24" w:rsidRPr="005D10C1">
        <w:rPr>
          <w:rFonts w:ascii="Candara" w:hAnsi="Candara"/>
        </w:rPr>
        <w:fldChar w:fldCharType="end"/>
      </w:r>
      <w:r w:rsidRPr="005D10C1">
        <w:rPr>
          <w:rFonts w:ascii="Candara" w:hAnsi="Candara"/>
        </w:rPr>
        <w:t>.</w:t>
      </w:r>
    </w:p>
    <w:p w14:paraId="389F1B79" w14:textId="77777777" w:rsidR="003D4BE7" w:rsidRPr="005D10C1" w:rsidRDefault="003D4BE7" w:rsidP="00E60A2B">
      <w:pPr>
        <w:autoSpaceDE w:val="0"/>
        <w:autoSpaceDN w:val="0"/>
        <w:adjustRightInd w:val="0"/>
        <w:spacing w:line="360" w:lineRule="auto"/>
        <w:rPr>
          <w:rFonts w:ascii="Candara" w:hAnsi="Candara"/>
        </w:rPr>
      </w:pPr>
    </w:p>
    <w:p w14:paraId="4AEDBBCF" w14:textId="77777777" w:rsidR="009A30AF" w:rsidRPr="005D10C1" w:rsidRDefault="003D4BE7" w:rsidP="00E60A2B">
      <w:pPr>
        <w:autoSpaceDE w:val="0"/>
        <w:autoSpaceDN w:val="0"/>
        <w:adjustRightInd w:val="0"/>
        <w:spacing w:line="360" w:lineRule="auto"/>
        <w:rPr>
          <w:rFonts w:ascii="Candara" w:hAnsi="Candara" w:cs="Times"/>
        </w:rPr>
      </w:pPr>
      <w:r w:rsidRPr="005D10C1">
        <w:rPr>
          <w:rFonts w:ascii="Candara" w:hAnsi="Candara" w:cs="Times"/>
        </w:rPr>
        <w:t xml:space="preserve">La Universidad del Valle </w:t>
      </w:r>
      <w:r w:rsidR="00934ABF" w:rsidRPr="005D10C1">
        <w:rPr>
          <w:rFonts w:ascii="Candara" w:hAnsi="Candara" w:cs="Times"/>
        </w:rPr>
        <w:t>establece en el Acuerdo 023 el Estatuto de P</w:t>
      </w:r>
      <w:r w:rsidR="00D3321B" w:rsidRPr="005D10C1">
        <w:rPr>
          <w:rFonts w:ascii="Candara" w:hAnsi="Candara" w:cs="Times"/>
        </w:rPr>
        <w:t xml:space="preserve">ropiedad </w:t>
      </w:r>
      <w:r w:rsidR="00934ABF" w:rsidRPr="005D10C1">
        <w:rPr>
          <w:rFonts w:ascii="Candara" w:hAnsi="Candara" w:cs="Times"/>
        </w:rPr>
        <w:t>I</w:t>
      </w:r>
      <w:r w:rsidR="00D3321B" w:rsidRPr="005D10C1">
        <w:rPr>
          <w:rFonts w:ascii="Candara" w:hAnsi="Candara" w:cs="Times"/>
        </w:rPr>
        <w:t xml:space="preserve">ntelectual, </w:t>
      </w:r>
      <w:r w:rsidR="009A30AF" w:rsidRPr="005D10C1">
        <w:rPr>
          <w:rFonts w:ascii="Candara" w:hAnsi="Candara" w:cs="Times"/>
        </w:rPr>
        <w:t xml:space="preserve">en </w:t>
      </w:r>
      <w:r w:rsidR="00934ABF" w:rsidRPr="005D10C1">
        <w:rPr>
          <w:rFonts w:ascii="Candara" w:hAnsi="Candara" w:cs="Times"/>
        </w:rPr>
        <w:t>el que</w:t>
      </w:r>
      <w:r w:rsidR="009A30AF" w:rsidRPr="005D10C1">
        <w:rPr>
          <w:rFonts w:ascii="Candara" w:hAnsi="Candara" w:cs="Times"/>
        </w:rPr>
        <w:t xml:space="preserve"> </w:t>
      </w:r>
      <w:r w:rsidR="007E2FD2" w:rsidRPr="005D10C1">
        <w:rPr>
          <w:rFonts w:ascii="Candara" w:hAnsi="Candara" w:cs="Times"/>
        </w:rPr>
        <w:t>determina</w:t>
      </w:r>
      <w:r w:rsidR="00D3321B" w:rsidRPr="005D10C1">
        <w:rPr>
          <w:rFonts w:ascii="Candara" w:hAnsi="Candara" w:cs="Times"/>
        </w:rPr>
        <w:t xml:space="preserve"> la importancia de realizar la transferencia tecnológica</w:t>
      </w:r>
      <w:r w:rsidR="009A30AF" w:rsidRPr="005D10C1">
        <w:rPr>
          <w:rFonts w:ascii="Candara" w:hAnsi="Candara" w:cs="Times"/>
        </w:rPr>
        <w:t xml:space="preserve"> y </w:t>
      </w:r>
      <w:r w:rsidR="007E2FD2" w:rsidRPr="005D10C1">
        <w:rPr>
          <w:rFonts w:ascii="Candara" w:hAnsi="Candara" w:cs="Times"/>
        </w:rPr>
        <w:t xml:space="preserve">los incentivos financieros a investigadores que desarrollen tecnología. </w:t>
      </w:r>
      <w:r w:rsidR="009A30AF" w:rsidRPr="005D10C1">
        <w:rPr>
          <w:rFonts w:ascii="Candara" w:hAnsi="Candara" w:cs="Times"/>
        </w:rPr>
        <w:t>E</w:t>
      </w:r>
      <w:r w:rsidR="007E2FD2" w:rsidRPr="005D10C1">
        <w:rPr>
          <w:rFonts w:ascii="Candara" w:hAnsi="Candara" w:cs="Times"/>
        </w:rPr>
        <w:t xml:space="preserve">n el artículo 3 </w:t>
      </w:r>
      <w:r w:rsidR="00934ABF" w:rsidRPr="005D10C1">
        <w:rPr>
          <w:rFonts w:ascii="Candara" w:hAnsi="Candara" w:cs="Times"/>
        </w:rPr>
        <w:t>se encuentra consignado que la U</w:t>
      </w:r>
      <w:r w:rsidR="009A30AF" w:rsidRPr="005D10C1">
        <w:rPr>
          <w:rFonts w:ascii="Candara" w:hAnsi="Candara" w:cs="Times"/>
        </w:rPr>
        <w:t xml:space="preserve">niversidad </w:t>
      </w:r>
      <w:r w:rsidR="007E2FD2" w:rsidRPr="005D10C1">
        <w:rPr>
          <w:rFonts w:ascii="Candara" w:hAnsi="Candara"/>
        </w:rPr>
        <w:t xml:space="preserve">apoya todos los </w:t>
      </w:r>
      <w:r w:rsidR="007E2FD2" w:rsidRPr="005D10C1">
        <w:rPr>
          <w:rFonts w:ascii="Candara" w:hAnsi="Candara" w:cs="Times"/>
        </w:rPr>
        <w:t xml:space="preserve">esfuerzos y reconoce que los derechos de propiedad intelectual deben beneficiar a los </w:t>
      </w:r>
      <w:r w:rsidR="007E2FD2" w:rsidRPr="005D10C1">
        <w:rPr>
          <w:rFonts w:ascii="Candara" w:hAnsi="Candara"/>
        </w:rPr>
        <w:t>creadores en cuanto sea posible.</w:t>
      </w:r>
      <w:r w:rsidR="009A30AF" w:rsidRPr="005D10C1">
        <w:rPr>
          <w:rFonts w:ascii="Candara" w:hAnsi="Candara"/>
        </w:rPr>
        <w:t xml:space="preserve"> T</w:t>
      </w:r>
      <w:r w:rsidR="007E2FD2" w:rsidRPr="005D10C1">
        <w:rPr>
          <w:rFonts w:ascii="Candara" w:hAnsi="Candara"/>
        </w:rPr>
        <w:t xml:space="preserve">ambién estipula que </w:t>
      </w:r>
      <w:r w:rsidR="00796E39" w:rsidRPr="005D10C1">
        <w:rPr>
          <w:rFonts w:ascii="Candara" w:hAnsi="Candara"/>
        </w:rPr>
        <w:t xml:space="preserve">se </w:t>
      </w:r>
      <w:r w:rsidR="00796E39" w:rsidRPr="005D10C1">
        <w:rPr>
          <w:rFonts w:ascii="Candara" w:hAnsi="Candara" w:cs="Times"/>
        </w:rPr>
        <w:t>comparte</w:t>
      </w:r>
      <w:r w:rsidR="007E2FD2" w:rsidRPr="005D10C1">
        <w:rPr>
          <w:rFonts w:ascii="Candara" w:hAnsi="Candara" w:cs="Times"/>
        </w:rPr>
        <w:t xml:space="preserve"> con los autores e inventores las regalías resultantes de la explotación comercial </w:t>
      </w:r>
      <w:r w:rsidR="009A30AF" w:rsidRPr="005D10C1">
        <w:rPr>
          <w:rFonts w:ascii="Candara" w:hAnsi="Candara" w:cs="Times"/>
        </w:rPr>
        <w:t>de invenciones</w:t>
      </w:r>
      <w:r w:rsidR="00D404AC" w:rsidRPr="005D10C1">
        <w:rPr>
          <w:rFonts w:ascii="Candara" w:hAnsi="Candara" w:cs="Times"/>
        </w:rPr>
        <w:t xml:space="preserve"> </w:t>
      </w:r>
      <w:r w:rsidR="003B0D24" w:rsidRPr="005D10C1">
        <w:rPr>
          <w:rFonts w:ascii="Candara" w:hAnsi="Candara" w:cs="Times"/>
        </w:rPr>
        <w:fldChar w:fldCharType="begin" w:fldLock="1"/>
      </w:r>
      <w:r w:rsidR="00CA1A09" w:rsidRPr="005D10C1">
        <w:rPr>
          <w:rFonts w:ascii="Candara" w:hAnsi="Candara" w:cs="Times"/>
        </w:rPr>
        <w:instrText>ADDIN CSL_CITATION { "citationItems" : [ { "id" : "ITEM-1", "itemData" : { "author" : [ { "dropping-particle" : "", "family" : "Universidad del Valle", "given" : "", "non-dropping-particle" : "", "parse-names" : false, "suffix" : "" } ], "id" : "ITEM-1", "issued" : { "date-parts" : [ [ "2003" ] ] }, "title" : "Acuerdo 023", "type" : "article" }, "uris" : [ "http://www.mendeley.com/documents/?uuid=b6d5bb48-5717-4ad5-abc6-75ac54e68b25" ] } ], "mendeley" : { "previouslyFormattedCitation" : "(Universidad del Valle, 2003)" }, "properties" : { "noteIndex" : 0 }, "schema" : "https://github.com/citation-style-language/schema/raw/master/csl-citation.json" }</w:instrText>
      </w:r>
      <w:r w:rsidR="003B0D24" w:rsidRPr="005D10C1">
        <w:rPr>
          <w:rFonts w:ascii="Candara" w:hAnsi="Candara" w:cs="Times"/>
        </w:rPr>
        <w:fldChar w:fldCharType="separate"/>
      </w:r>
      <w:r w:rsidR="00796E39" w:rsidRPr="005D10C1">
        <w:rPr>
          <w:rFonts w:ascii="Candara" w:hAnsi="Candara" w:cs="Times"/>
          <w:noProof/>
        </w:rPr>
        <w:t>(Universidad del Valle, 2003)</w:t>
      </w:r>
      <w:r w:rsidR="003B0D24" w:rsidRPr="005D10C1">
        <w:rPr>
          <w:rFonts w:ascii="Candara" w:hAnsi="Candara" w:cs="Times"/>
        </w:rPr>
        <w:fldChar w:fldCharType="end"/>
      </w:r>
      <w:r w:rsidR="007E2FD2" w:rsidRPr="005D10C1">
        <w:rPr>
          <w:rFonts w:ascii="Candara" w:hAnsi="Candara" w:cs="Times"/>
        </w:rPr>
        <w:t xml:space="preserve">. </w:t>
      </w:r>
    </w:p>
    <w:p w14:paraId="1D4ADFA6" w14:textId="77777777" w:rsidR="003C5D67" w:rsidRPr="005D10C1" w:rsidRDefault="003C5D67" w:rsidP="00E60A2B">
      <w:pPr>
        <w:autoSpaceDE w:val="0"/>
        <w:autoSpaceDN w:val="0"/>
        <w:adjustRightInd w:val="0"/>
        <w:spacing w:line="360" w:lineRule="auto"/>
        <w:rPr>
          <w:rFonts w:ascii="Candara" w:hAnsi="Candara" w:cs="Times"/>
        </w:rPr>
      </w:pPr>
    </w:p>
    <w:p w14:paraId="5C72A8E9" w14:textId="77777777" w:rsidR="00B44B7C" w:rsidRPr="005D10C1" w:rsidRDefault="00D87698" w:rsidP="00E60A2B">
      <w:pPr>
        <w:autoSpaceDE w:val="0"/>
        <w:autoSpaceDN w:val="0"/>
        <w:adjustRightInd w:val="0"/>
        <w:spacing w:line="360" w:lineRule="auto"/>
        <w:rPr>
          <w:rFonts w:ascii="Candara" w:hAnsi="Candara" w:cs="Times"/>
        </w:rPr>
      </w:pPr>
      <w:r w:rsidRPr="005D10C1">
        <w:rPr>
          <w:rFonts w:ascii="Candara" w:hAnsi="Candara" w:cs="Times"/>
        </w:rPr>
        <w:t>El sistema de investigación</w:t>
      </w:r>
      <w:r w:rsidR="00BE24E0" w:rsidRPr="005D10C1">
        <w:rPr>
          <w:rFonts w:ascii="Candara" w:hAnsi="Candara" w:cs="Times"/>
        </w:rPr>
        <w:t xml:space="preserve"> se reglamentó</w:t>
      </w:r>
      <w:r w:rsidRPr="005D10C1">
        <w:rPr>
          <w:rFonts w:ascii="Candara" w:hAnsi="Candara" w:cs="Times"/>
        </w:rPr>
        <w:t xml:space="preserve"> en el </w:t>
      </w:r>
      <w:r w:rsidR="00B44B7C" w:rsidRPr="005D10C1">
        <w:rPr>
          <w:rFonts w:ascii="Candara" w:hAnsi="Candara" w:cs="Times"/>
        </w:rPr>
        <w:t>a</w:t>
      </w:r>
      <w:r w:rsidR="00BE24E0" w:rsidRPr="005D10C1">
        <w:rPr>
          <w:rFonts w:ascii="Candara" w:hAnsi="Candara" w:cs="Times"/>
        </w:rPr>
        <w:t>cuerdo 008 del Consejo. En este acuerdo</w:t>
      </w:r>
      <w:r w:rsidR="00934ABF" w:rsidRPr="005D10C1">
        <w:rPr>
          <w:rFonts w:ascii="Candara" w:hAnsi="Candara" w:cs="Times"/>
        </w:rPr>
        <w:t xml:space="preserve"> </w:t>
      </w:r>
      <w:r w:rsidR="00B44B7C" w:rsidRPr="005D10C1">
        <w:rPr>
          <w:rFonts w:ascii="Candara" w:hAnsi="Candara" w:cs="Times"/>
        </w:rPr>
        <w:t xml:space="preserve">se estipula que </w:t>
      </w:r>
      <w:r w:rsidR="00BE24E0" w:rsidRPr="005D10C1">
        <w:rPr>
          <w:rFonts w:ascii="Candara" w:hAnsi="Candara" w:cs="Times"/>
        </w:rPr>
        <w:t xml:space="preserve">la Universidad del Valle reglamentará la participación de los investigadores en el disfrute de las regalías si estas innovaciones las generaran, </w:t>
      </w:r>
      <w:r w:rsidR="00B44B7C" w:rsidRPr="005D10C1">
        <w:rPr>
          <w:rFonts w:ascii="Candara" w:hAnsi="Candara" w:cs="Times"/>
        </w:rPr>
        <w:t xml:space="preserve">para el caso de productos de innovación y desarrollo </w:t>
      </w:r>
      <w:r w:rsidR="00BE24E0" w:rsidRPr="005D10C1">
        <w:rPr>
          <w:rFonts w:ascii="Candara" w:hAnsi="Candara" w:cs="Times"/>
        </w:rPr>
        <w:t>tecnológico</w:t>
      </w:r>
      <w:r w:rsidR="00315A36" w:rsidRPr="005D10C1">
        <w:rPr>
          <w:rFonts w:ascii="Candara" w:hAnsi="Candara" w:cs="Times"/>
        </w:rPr>
        <w:t xml:space="preserve"> </w:t>
      </w:r>
      <w:r w:rsidR="003B0D24" w:rsidRPr="005D10C1">
        <w:rPr>
          <w:rFonts w:ascii="Candara" w:hAnsi="Candara" w:cs="Times"/>
        </w:rPr>
        <w:fldChar w:fldCharType="begin" w:fldLock="1"/>
      </w:r>
      <w:r w:rsidR="00CA1A09" w:rsidRPr="005D10C1">
        <w:rPr>
          <w:rFonts w:ascii="Candara" w:hAnsi="Candara" w:cs="Times"/>
        </w:rPr>
        <w:instrText>ADDIN CSL_CITATION { "citationItems" : [ { "id" : "ITEM-1", "itemData" : { "author" : [ { "dropping-particle" : "", "family" : "Universidad del Valle", "given" : "", "non-dropping-particle" : "", "parse-names" : false, "suffix" : "" } ], "id" : "ITEM-1", "issued" : { "date-parts" : [ [ "2006" ] ] }, "title" : "Acuerdo 008", "type" : "article" }, "uris" : [ "http://www.mendeley.com/documents/?uuid=5606a603-33aa-427c-b8b8-1054941e01ad" ] } ], "mendeley" : { "previouslyFormattedCitation" : "(Universidad del Valle, 2006)" }, "properties" : { "noteIndex" : 0 }, "schema" : "https://github.com/citation-style-language/schema/raw/master/csl-citation.json" }</w:instrText>
      </w:r>
      <w:r w:rsidR="003B0D24" w:rsidRPr="005D10C1">
        <w:rPr>
          <w:rFonts w:ascii="Candara" w:hAnsi="Candara" w:cs="Times"/>
        </w:rPr>
        <w:fldChar w:fldCharType="separate"/>
      </w:r>
      <w:r w:rsidR="00D87A68" w:rsidRPr="005D10C1">
        <w:rPr>
          <w:rFonts w:ascii="Candara" w:hAnsi="Candara" w:cs="Times"/>
          <w:noProof/>
        </w:rPr>
        <w:t>(Universidad del Valle, 2006)</w:t>
      </w:r>
      <w:r w:rsidR="003B0D24" w:rsidRPr="005D10C1">
        <w:rPr>
          <w:rFonts w:ascii="Candara" w:hAnsi="Candara" w:cs="Times"/>
        </w:rPr>
        <w:fldChar w:fldCharType="end"/>
      </w:r>
      <w:r w:rsidR="00D87A68" w:rsidRPr="005D10C1">
        <w:rPr>
          <w:rFonts w:ascii="Candara" w:hAnsi="Candara" w:cs="Times"/>
        </w:rPr>
        <w:t>.</w:t>
      </w:r>
    </w:p>
    <w:p w14:paraId="35C6E908" w14:textId="77777777" w:rsidR="00B44B7C" w:rsidRPr="005D10C1" w:rsidRDefault="00B44B7C" w:rsidP="00E60A2B">
      <w:pPr>
        <w:autoSpaceDE w:val="0"/>
        <w:autoSpaceDN w:val="0"/>
        <w:adjustRightInd w:val="0"/>
        <w:spacing w:line="360" w:lineRule="auto"/>
        <w:rPr>
          <w:rFonts w:ascii="Candara" w:hAnsi="Candara" w:cs="Times"/>
        </w:rPr>
      </w:pPr>
    </w:p>
    <w:p w14:paraId="2AE6B172" w14:textId="77777777" w:rsidR="007E2FD2" w:rsidRPr="005D10C1" w:rsidRDefault="009A30AF" w:rsidP="00E60A2B">
      <w:pPr>
        <w:autoSpaceDE w:val="0"/>
        <w:autoSpaceDN w:val="0"/>
        <w:adjustRightInd w:val="0"/>
        <w:spacing w:line="360" w:lineRule="auto"/>
        <w:rPr>
          <w:rFonts w:ascii="Candara" w:hAnsi="Candara" w:cs="Times"/>
        </w:rPr>
      </w:pPr>
      <w:r w:rsidRPr="005D10C1">
        <w:rPr>
          <w:rFonts w:ascii="Candara" w:hAnsi="Candara" w:cs="Times"/>
        </w:rPr>
        <w:lastRenderedPageBreak/>
        <w:t>Aparte de este acuerdo</w:t>
      </w:r>
      <w:r w:rsidR="003C5D67" w:rsidRPr="005D10C1">
        <w:rPr>
          <w:rFonts w:ascii="Candara" w:hAnsi="Candara" w:cs="Times"/>
        </w:rPr>
        <w:t xml:space="preserve"> y del sistema de investigación</w:t>
      </w:r>
      <w:r w:rsidR="00934ABF" w:rsidRPr="005D10C1">
        <w:rPr>
          <w:rFonts w:ascii="Candara" w:hAnsi="Candara" w:cs="Times"/>
        </w:rPr>
        <w:t>, la U</w:t>
      </w:r>
      <w:r w:rsidR="00DC1526" w:rsidRPr="005D10C1">
        <w:rPr>
          <w:rFonts w:ascii="Candara" w:hAnsi="Candara" w:cs="Times"/>
        </w:rPr>
        <w:t>niversidad</w:t>
      </w:r>
      <w:r w:rsidR="00934ABF" w:rsidRPr="005D10C1">
        <w:rPr>
          <w:rFonts w:ascii="Candara" w:hAnsi="Candara" w:cs="Times"/>
        </w:rPr>
        <w:t xml:space="preserve"> </w:t>
      </w:r>
      <w:r w:rsidR="007E2FD2" w:rsidRPr="005D10C1">
        <w:rPr>
          <w:rFonts w:ascii="Candara" w:hAnsi="Candara" w:cs="Times"/>
        </w:rPr>
        <w:t xml:space="preserve">posee </w:t>
      </w:r>
      <w:r w:rsidR="00934ABF" w:rsidRPr="005D10C1">
        <w:rPr>
          <w:rFonts w:ascii="Candara" w:hAnsi="Candara" w:cs="Times"/>
        </w:rPr>
        <w:t xml:space="preserve">en </w:t>
      </w:r>
      <w:r w:rsidR="007E2FD2" w:rsidRPr="005D10C1">
        <w:rPr>
          <w:rFonts w:ascii="Candara" w:hAnsi="Candara" w:cs="Times"/>
        </w:rPr>
        <w:t>el Manual de Procedimientos</w:t>
      </w:r>
      <w:r w:rsidR="00DC1526" w:rsidRPr="005D10C1">
        <w:rPr>
          <w:rFonts w:ascii="Candara" w:hAnsi="Candara" w:cs="Times"/>
        </w:rPr>
        <w:t xml:space="preserve">, </w:t>
      </w:r>
      <w:r w:rsidR="00796E39" w:rsidRPr="005D10C1">
        <w:rPr>
          <w:rFonts w:ascii="Candara" w:hAnsi="Candara" w:cs="Times"/>
        </w:rPr>
        <w:t xml:space="preserve">específicamente </w:t>
      </w:r>
      <w:r w:rsidR="00DC1526" w:rsidRPr="005D10C1">
        <w:rPr>
          <w:rFonts w:ascii="Candara" w:hAnsi="Candara" w:cs="Times"/>
        </w:rPr>
        <w:t xml:space="preserve">en el procedimiento </w:t>
      </w:r>
      <w:r w:rsidR="007E2FD2" w:rsidRPr="005D10C1">
        <w:rPr>
          <w:rFonts w:ascii="Candara" w:hAnsi="Candara" w:cs="Times"/>
        </w:rPr>
        <w:t xml:space="preserve">de transferencia </w:t>
      </w:r>
      <w:r w:rsidR="00DC1526" w:rsidRPr="005D10C1">
        <w:rPr>
          <w:rFonts w:ascii="Candara" w:hAnsi="Candara" w:cs="Times"/>
        </w:rPr>
        <w:t xml:space="preserve">de resultados de investigación </w:t>
      </w:r>
      <w:r w:rsidR="00796E39" w:rsidRPr="005D10C1">
        <w:rPr>
          <w:rFonts w:ascii="Candara" w:hAnsi="Candara" w:cs="Times"/>
        </w:rPr>
        <w:t>determina el tipo de proyecto de transferencia, es decir, proyectos de investigación básica o aplicada (fase de laboratorio), proyectos de validación de tecnología (fase de prototipo o de validación) y proyectos de trasferencia de conocimiento o licenciamiento (fase de escalamiento</w:t>
      </w:r>
      <w:r w:rsidR="007E2FD2" w:rsidRPr="005D10C1">
        <w:rPr>
          <w:rFonts w:ascii="Candara" w:hAnsi="Candara" w:cs="Times"/>
        </w:rPr>
        <w:t xml:space="preserve">, sin embargo, no se menciona que pasos seguir a la hora de crear o desarrollar una </w:t>
      </w:r>
      <w:r w:rsidR="007E2FD2" w:rsidRPr="005D10C1">
        <w:rPr>
          <w:rFonts w:ascii="Candara" w:hAnsi="Candara" w:cs="Times"/>
          <w:i/>
        </w:rPr>
        <w:t>Spin Off</w:t>
      </w:r>
      <w:r w:rsidR="00AF4AB4" w:rsidRPr="005D10C1">
        <w:rPr>
          <w:rFonts w:ascii="Candara" w:hAnsi="Candara" w:cs="Times"/>
          <w:i/>
        </w:rPr>
        <w:t xml:space="preserve"> </w:t>
      </w:r>
      <w:r w:rsidR="003B0D24" w:rsidRPr="005D10C1">
        <w:rPr>
          <w:rFonts w:ascii="Candara" w:hAnsi="Candara" w:cs="Times"/>
          <w:i/>
        </w:rPr>
        <w:fldChar w:fldCharType="begin" w:fldLock="1"/>
      </w:r>
      <w:r w:rsidR="00CA1A09" w:rsidRPr="005D10C1">
        <w:rPr>
          <w:rFonts w:ascii="Candara" w:hAnsi="Candara" w:cs="Times"/>
          <w:i/>
        </w:rPr>
        <w:instrText>ADDIN CSL_CITATION { "citationItems" : [ { "id" : "ITEM-1", "itemData" : { "author" : [ { "dropping-particle" : "", "family" : "Oficina de Transferencia de Resultados de Investigaci\u00f3n", "given" : "", "non-dropping-particle" : "", "parse-names" : false, "suffix" : "" } ], "id" : "ITEM-1", "issued" : { "date-parts" : [ [ "0" ] ] }, "title" : "Transferencia de resultados de investigaci\u00f3n", "type" : "article" }, "uris" : [ "http://www.mendeley.com/documents/?uuid=1b074f53-ee8d-475b-9338-848caeda8582" ] } ], "mendeley" : { "previouslyFormattedCitation" : "(Oficina de Transferencia de Resultados de Investigaci\u00f3n, n.d.)" }, "properties" : { "noteIndex" : 0 }, "schema" : "https://github.com/citation-style-language/schema/raw/master/csl-citation.json" }</w:instrText>
      </w:r>
      <w:r w:rsidR="003B0D24" w:rsidRPr="005D10C1">
        <w:rPr>
          <w:rFonts w:ascii="Candara" w:hAnsi="Candara" w:cs="Times"/>
          <w:i/>
        </w:rPr>
        <w:fldChar w:fldCharType="separate"/>
      </w:r>
      <w:r w:rsidR="00720FD3" w:rsidRPr="005D10C1">
        <w:rPr>
          <w:rFonts w:ascii="Candara" w:hAnsi="Candara" w:cs="Times"/>
          <w:noProof/>
        </w:rPr>
        <w:t>(Oficina de Transferencia de Resultados de Investigación, n.d.)</w:t>
      </w:r>
      <w:r w:rsidR="003B0D24" w:rsidRPr="005D10C1">
        <w:rPr>
          <w:rFonts w:ascii="Candara" w:hAnsi="Candara" w:cs="Times"/>
          <w:i/>
        </w:rPr>
        <w:fldChar w:fldCharType="end"/>
      </w:r>
      <w:r w:rsidR="007E2FD2" w:rsidRPr="005D10C1">
        <w:rPr>
          <w:rFonts w:ascii="Candara" w:hAnsi="Candara" w:cs="Times"/>
        </w:rPr>
        <w:t>.</w:t>
      </w:r>
    </w:p>
    <w:p w14:paraId="6F323E93" w14:textId="77777777" w:rsidR="00D3321B" w:rsidRPr="005D10C1" w:rsidRDefault="00D3321B" w:rsidP="007E2FD2">
      <w:pPr>
        <w:autoSpaceDE w:val="0"/>
        <w:autoSpaceDN w:val="0"/>
        <w:adjustRightInd w:val="0"/>
        <w:spacing w:line="360" w:lineRule="auto"/>
        <w:jc w:val="left"/>
        <w:rPr>
          <w:rFonts w:ascii="Candara" w:hAnsi="Candara" w:cs="Times"/>
        </w:rPr>
      </w:pPr>
    </w:p>
    <w:p w14:paraId="75977746" w14:textId="77777777" w:rsidR="00C815FD" w:rsidRPr="005D10C1" w:rsidRDefault="004B54A6" w:rsidP="004B54A6">
      <w:pPr>
        <w:pStyle w:val="Ttulo1"/>
        <w:rPr>
          <w:rFonts w:ascii="Candara" w:hAnsi="Candara"/>
          <w:color w:val="auto"/>
        </w:rPr>
      </w:pPr>
      <w:bookmarkStart w:id="287" w:name="_Toc377653163"/>
      <w:r w:rsidRPr="005D10C1">
        <w:rPr>
          <w:rFonts w:ascii="Candara" w:hAnsi="Candara"/>
          <w:color w:val="auto"/>
        </w:rPr>
        <w:t>Conclusiones</w:t>
      </w:r>
      <w:bookmarkEnd w:id="287"/>
      <w:r w:rsidRPr="005D10C1">
        <w:rPr>
          <w:rFonts w:ascii="Candara" w:hAnsi="Candara"/>
          <w:color w:val="auto"/>
        </w:rPr>
        <w:t xml:space="preserve"> </w:t>
      </w:r>
      <w:bookmarkEnd w:id="286"/>
    </w:p>
    <w:p w14:paraId="4EC7AB98" w14:textId="77777777" w:rsidR="004B54A6" w:rsidRPr="005D10C1" w:rsidRDefault="004B54A6" w:rsidP="004B54A6">
      <w:pPr>
        <w:rPr>
          <w:rFonts w:ascii="Candara" w:hAnsi="Candara"/>
        </w:rPr>
      </w:pPr>
    </w:p>
    <w:p w14:paraId="5D0EC719" w14:textId="77777777" w:rsidR="00C815FD" w:rsidRPr="005D10C1" w:rsidRDefault="00C815FD">
      <w:pPr>
        <w:rPr>
          <w:rFonts w:ascii="Candara" w:hAnsi="Candara"/>
        </w:rPr>
      </w:pPr>
    </w:p>
    <w:p w14:paraId="1AF904F8" w14:textId="77777777" w:rsidR="002B5224" w:rsidRPr="005D10C1" w:rsidRDefault="002B5224" w:rsidP="001B24A9">
      <w:pPr>
        <w:pStyle w:val="Prrafodelista"/>
        <w:numPr>
          <w:ilvl w:val="0"/>
          <w:numId w:val="9"/>
        </w:numPr>
        <w:spacing w:line="360" w:lineRule="auto"/>
        <w:rPr>
          <w:rFonts w:ascii="Candara" w:hAnsi="Candara"/>
        </w:rPr>
      </w:pPr>
      <w:r w:rsidRPr="005D10C1">
        <w:rPr>
          <w:rFonts w:ascii="Candara" w:hAnsi="Candara"/>
        </w:rPr>
        <w:t>Las spin-offs universitarias se constituyen en un mecanismo de alto nivel de complejidad, cuyo proceso de constitución y consolidación está influido por diversos grupos de factores.  Se identifica en los países en donde este fenómeno ha logrado consolidarse la importancia del estado en la generación de un entorno legislativo favorable que ha permitido tanto a los investigadores-emprendedores, como a las universidades beneficiarse de las bondades que la generación de empresas basadas en el conocimiento representan.</w:t>
      </w:r>
    </w:p>
    <w:p w14:paraId="5E404D5F" w14:textId="77777777" w:rsidR="002B5224" w:rsidRPr="005D10C1" w:rsidRDefault="002B5224" w:rsidP="00091795">
      <w:pPr>
        <w:pStyle w:val="Prrafodelista"/>
        <w:spacing w:line="360" w:lineRule="auto"/>
        <w:rPr>
          <w:rFonts w:ascii="Candara" w:hAnsi="Candara"/>
        </w:rPr>
      </w:pPr>
    </w:p>
    <w:p w14:paraId="63E526F4" w14:textId="77777777" w:rsidR="00C815FD" w:rsidRPr="005D10C1" w:rsidRDefault="009E5357" w:rsidP="001B24A9">
      <w:pPr>
        <w:pStyle w:val="Prrafodelista"/>
        <w:numPr>
          <w:ilvl w:val="0"/>
          <w:numId w:val="9"/>
        </w:numPr>
        <w:spacing w:line="360" w:lineRule="auto"/>
        <w:rPr>
          <w:rFonts w:ascii="Candara" w:hAnsi="Candara"/>
        </w:rPr>
      </w:pPr>
      <w:r w:rsidRPr="005D10C1">
        <w:rPr>
          <w:rFonts w:ascii="Candara" w:hAnsi="Candara"/>
        </w:rPr>
        <w:t>E</w:t>
      </w:r>
      <w:r w:rsidR="002B5224" w:rsidRPr="005D10C1">
        <w:rPr>
          <w:rFonts w:ascii="Candara" w:hAnsi="Candara"/>
        </w:rPr>
        <w:t xml:space="preserve">stados Unidos, </w:t>
      </w:r>
      <w:r w:rsidR="0078598F" w:rsidRPr="005D10C1">
        <w:rPr>
          <w:rFonts w:ascii="Candara" w:hAnsi="Candara"/>
        </w:rPr>
        <w:t xml:space="preserve">Brasil, </w:t>
      </w:r>
      <w:r w:rsidR="002B5224" w:rsidRPr="005D10C1">
        <w:rPr>
          <w:rFonts w:ascii="Candara" w:hAnsi="Candara"/>
        </w:rPr>
        <w:t xml:space="preserve">Francia y España los cambios normativos parten desde las políticas que afectan los Sistemas Nacionales de Innovación, pasando por normatividad con respecto a la propiedad intelectual e industrial de los desarrollos obtenidos con financiación de fondos públicos, la normativa que afecta las universidades y los centros de investigación como generadores de adelantos científicos y, aquellas que a nivel interno de las organizaciones deben adecuarse para adaptarse a los cambios normativos de carácter superior. </w:t>
      </w:r>
      <w:r w:rsidR="002B5224" w:rsidRPr="005D10C1">
        <w:rPr>
          <w:rFonts w:ascii="Candara" w:hAnsi="Candara"/>
        </w:rPr>
        <w:lastRenderedPageBreak/>
        <w:t>Igualmente se detecta que estos cambios normativos han estado acompañados de la creación de estructuras y mecanismos que fomenten el desarrollo de estas organizaciones, como Agencias estatales, incubadoras, competenc</w:t>
      </w:r>
      <w:r w:rsidR="00D72FD1" w:rsidRPr="005D10C1">
        <w:rPr>
          <w:rFonts w:ascii="Candara" w:hAnsi="Candara"/>
        </w:rPr>
        <w:t>ias de proyectos empresariales y fondos de capital semilla y de capital riesgo que den impulso y acompañamiento a los emprendedores que deseen generar empresas tipo spin-off.</w:t>
      </w:r>
    </w:p>
    <w:p w14:paraId="691438A1" w14:textId="77777777" w:rsidR="009E5357" w:rsidRPr="005D10C1" w:rsidRDefault="009E5357" w:rsidP="00091795">
      <w:pPr>
        <w:spacing w:line="360" w:lineRule="auto"/>
        <w:rPr>
          <w:rFonts w:ascii="Candara" w:hAnsi="Candara"/>
        </w:rPr>
      </w:pPr>
    </w:p>
    <w:p w14:paraId="47CD5819" w14:textId="77777777" w:rsidR="00C815FD" w:rsidRPr="005D10C1" w:rsidRDefault="00D72FD1" w:rsidP="001B24A9">
      <w:pPr>
        <w:pStyle w:val="Prrafodelista"/>
        <w:numPr>
          <w:ilvl w:val="0"/>
          <w:numId w:val="9"/>
        </w:numPr>
        <w:spacing w:line="360" w:lineRule="auto"/>
        <w:rPr>
          <w:rFonts w:ascii="Candara" w:hAnsi="Candara"/>
        </w:rPr>
      </w:pPr>
      <w:r w:rsidRPr="005D10C1">
        <w:rPr>
          <w:rFonts w:ascii="Candara" w:hAnsi="Candara"/>
        </w:rPr>
        <w:t xml:space="preserve">Se identifica en el caso de </w:t>
      </w:r>
      <w:r w:rsidR="00342D66" w:rsidRPr="005D10C1">
        <w:rPr>
          <w:rFonts w:ascii="Candara" w:hAnsi="Candara"/>
        </w:rPr>
        <w:t>Estados Unidos</w:t>
      </w:r>
      <w:r w:rsidRPr="005D10C1">
        <w:rPr>
          <w:rFonts w:ascii="Candara" w:hAnsi="Candara"/>
        </w:rPr>
        <w:t xml:space="preserve"> que </w:t>
      </w:r>
      <w:r w:rsidR="001E438F" w:rsidRPr="005D10C1">
        <w:rPr>
          <w:rFonts w:ascii="Candara" w:hAnsi="Candara"/>
        </w:rPr>
        <w:t xml:space="preserve">a manera general </w:t>
      </w:r>
      <w:r w:rsidRPr="005D10C1">
        <w:rPr>
          <w:rFonts w:ascii="Candara" w:hAnsi="Candara"/>
        </w:rPr>
        <w:t xml:space="preserve">no </w:t>
      </w:r>
      <w:r w:rsidR="001E438F" w:rsidRPr="005D10C1">
        <w:rPr>
          <w:rFonts w:ascii="Candara" w:hAnsi="Candara"/>
        </w:rPr>
        <w:t xml:space="preserve">hay </w:t>
      </w:r>
      <w:r w:rsidRPr="005D10C1">
        <w:rPr>
          <w:rFonts w:ascii="Candara" w:hAnsi="Candara"/>
        </w:rPr>
        <w:t>obstáculos legales para que los investigadores con calidad de servidores públicos puedan s</w:t>
      </w:r>
      <w:r w:rsidR="009E5357" w:rsidRPr="005D10C1">
        <w:rPr>
          <w:rFonts w:ascii="Candara" w:hAnsi="Candara"/>
        </w:rPr>
        <w:t>er socios de las spin-off</w:t>
      </w:r>
      <w:r w:rsidRPr="005D10C1">
        <w:rPr>
          <w:rFonts w:ascii="Candara" w:hAnsi="Candara"/>
        </w:rPr>
        <w:t>, lo cual también explica en parte, el liderazgo que ha tenido este país en la consolidación y desarrollo de este mecanismo de transferencia que, lo convierten en un caso de referencia obligada en este tipo de estudios.</w:t>
      </w:r>
      <w:r w:rsidR="0078598F" w:rsidRPr="005D10C1">
        <w:rPr>
          <w:rFonts w:ascii="Candara" w:hAnsi="Candara"/>
        </w:rPr>
        <w:t xml:space="preserve"> Sin embargo, hay que tener presente </w:t>
      </w:r>
      <w:r w:rsidR="001E438F" w:rsidRPr="005D10C1">
        <w:rPr>
          <w:rFonts w:ascii="Candara" w:hAnsi="Candara"/>
        </w:rPr>
        <w:t xml:space="preserve">los gobiernos federales como es el caso del estado de Ohio, el cual presenta restricciones con los servidores públicos. </w:t>
      </w:r>
    </w:p>
    <w:p w14:paraId="2BB9883B" w14:textId="77777777" w:rsidR="001E438F" w:rsidRPr="005D10C1" w:rsidRDefault="001E438F" w:rsidP="001E438F">
      <w:pPr>
        <w:pStyle w:val="Prrafodelista"/>
        <w:rPr>
          <w:rFonts w:ascii="Candara" w:hAnsi="Candara"/>
        </w:rPr>
      </w:pPr>
    </w:p>
    <w:p w14:paraId="07AC0E69" w14:textId="77777777" w:rsidR="001E438F" w:rsidRPr="005D10C1" w:rsidRDefault="001E438F" w:rsidP="001B24A9">
      <w:pPr>
        <w:pStyle w:val="Prrafodelista"/>
        <w:numPr>
          <w:ilvl w:val="0"/>
          <w:numId w:val="9"/>
        </w:numPr>
        <w:spacing w:line="360" w:lineRule="auto"/>
        <w:rPr>
          <w:rFonts w:ascii="Candara" w:hAnsi="Candara"/>
        </w:rPr>
      </w:pPr>
      <w:r w:rsidRPr="005D10C1">
        <w:rPr>
          <w:rFonts w:ascii="Candara" w:hAnsi="Candara"/>
        </w:rPr>
        <w:t xml:space="preserve">En el caso de Brasil han realizado esfuerzos considerables en lo relacionado a políticas y el Sistema Nacional de Ciencia Tecnología e innovación. Como puntos relevantes y considerables que se trataron y conocieron fueron las leyes de Innovación y del Bien en el cual apoyan la innovación e investigación en la triple hélice, sin embargo, no existen en regulaciones específicas para apoyar la creación de empresas </w:t>
      </w:r>
      <w:r w:rsidRPr="005D10C1">
        <w:rPr>
          <w:rFonts w:ascii="Candara" w:hAnsi="Candara"/>
          <w:i/>
        </w:rPr>
        <w:t>spin-off</w:t>
      </w:r>
      <w:r w:rsidRPr="005D10C1">
        <w:rPr>
          <w:rFonts w:ascii="Candara" w:hAnsi="Candara"/>
        </w:rPr>
        <w:t xml:space="preserve"> </w:t>
      </w:r>
    </w:p>
    <w:p w14:paraId="6EB196DA" w14:textId="77777777" w:rsidR="00C815FD" w:rsidRPr="005D10C1" w:rsidRDefault="00C815FD" w:rsidP="00091795">
      <w:pPr>
        <w:spacing w:line="360" w:lineRule="auto"/>
        <w:rPr>
          <w:rFonts w:ascii="Candara" w:hAnsi="Candara"/>
        </w:rPr>
      </w:pPr>
    </w:p>
    <w:p w14:paraId="2DF518B1" w14:textId="77777777" w:rsidR="00C815FD" w:rsidRPr="005D10C1" w:rsidRDefault="00085A54" w:rsidP="001B24A9">
      <w:pPr>
        <w:pStyle w:val="Prrafodelista"/>
        <w:numPr>
          <w:ilvl w:val="0"/>
          <w:numId w:val="9"/>
        </w:numPr>
        <w:spacing w:line="360" w:lineRule="auto"/>
        <w:rPr>
          <w:rFonts w:ascii="Candara" w:hAnsi="Candara"/>
        </w:rPr>
      </w:pPr>
      <w:r w:rsidRPr="005D10C1">
        <w:rPr>
          <w:rFonts w:ascii="Candara" w:hAnsi="Candara"/>
        </w:rPr>
        <w:t xml:space="preserve">En el caso de Francia y España es posible identificar que se realizaron ajustes y cambios normativos pues dadas las particularidades de estos países y de sus regulaciones legales los servidores poseían inhabilidades para la participación de este tipo de compañías. En el caso de España </w:t>
      </w:r>
      <w:r w:rsidR="00EE6706" w:rsidRPr="005D10C1">
        <w:rPr>
          <w:rFonts w:ascii="Candara" w:hAnsi="Candara"/>
        </w:rPr>
        <w:t>la reforma a la L</w:t>
      </w:r>
      <w:r w:rsidR="00D72FD1" w:rsidRPr="005D10C1">
        <w:rPr>
          <w:rFonts w:ascii="Candara" w:hAnsi="Candara"/>
        </w:rPr>
        <w:t xml:space="preserve">ey </w:t>
      </w:r>
      <w:r w:rsidR="00EE6706" w:rsidRPr="005D10C1">
        <w:rPr>
          <w:rFonts w:ascii="Candara" w:hAnsi="Candara"/>
        </w:rPr>
        <w:t>O</w:t>
      </w:r>
      <w:r w:rsidR="00D72FD1" w:rsidRPr="005D10C1">
        <w:rPr>
          <w:rFonts w:ascii="Candara" w:hAnsi="Candara"/>
        </w:rPr>
        <w:t xml:space="preserve">rgánica de </w:t>
      </w:r>
      <w:r w:rsidR="00EE6706" w:rsidRPr="005D10C1">
        <w:rPr>
          <w:rFonts w:ascii="Candara" w:hAnsi="Candara"/>
        </w:rPr>
        <w:t>U</w:t>
      </w:r>
      <w:r w:rsidR="00D72FD1" w:rsidRPr="005D10C1">
        <w:rPr>
          <w:rFonts w:ascii="Candara" w:hAnsi="Candara"/>
        </w:rPr>
        <w:t xml:space="preserve">niversidades de 2007 </w:t>
      </w:r>
      <w:r w:rsidR="00EE6706" w:rsidRPr="005D10C1">
        <w:rPr>
          <w:rFonts w:ascii="Candara" w:hAnsi="Candara"/>
        </w:rPr>
        <w:t>y la ley 14 d</w:t>
      </w:r>
      <w:r w:rsidR="00D72FD1" w:rsidRPr="005D10C1">
        <w:rPr>
          <w:rFonts w:ascii="Candara" w:hAnsi="Candara"/>
        </w:rPr>
        <w:t xml:space="preserve">e 2011 han permitido superar esta </w:t>
      </w:r>
      <w:r w:rsidR="00D72FD1" w:rsidRPr="005D10C1">
        <w:rPr>
          <w:rFonts w:ascii="Candara" w:hAnsi="Candara"/>
        </w:rPr>
        <w:lastRenderedPageBreak/>
        <w:t xml:space="preserve">incompatibilidad, así mismo, el Programa estatal de Impulso al Liderazgo Empresarial en </w:t>
      </w:r>
      <w:r w:rsidR="000A0280" w:rsidRPr="005D10C1">
        <w:rPr>
          <w:rFonts w:ascii="Candara" w:hAnsi="Candara"/>
        </w:rPr>
        <w:t>I+D+i</w:t>
      </w:r>
      <w:r w:rsidR="00D72FD1" w:rsidRPr="005D10C1">
        <w:rPr>
          <w:rFonts w:ascii="Candara" w:hAnsi="Candara"/>
        </w:rPr>
        <w:t xml:space="preserve"> se convierte en un cambio normativo importante que seguramente contribuirá al desarrollo del fenómeno, al crear instrumentos complementarios para apoyarlo más </w:t>
      </w:r>
      <w:r w:rsidR="00091795" w:rsidRPr="005D10C1">
        <w:rPr>
          <w:rFonts w:ascii="Candara" w:hAnsi="Candara"/>
        </w:rPr>
        <w:t>decididamente.</w:t>
      </w:r>
    </w:p>
    <w:p w14:paraId="2EC0FC91" w14:textId="77777777" w:rsidR="008E736A" w:rsidRPr="005D10C1" w:rsidRDefault="008E736A" w:rsidP="008E736A">
      <w:pPr>
        <w:pStyle w:val="Prrafodelista"/>
        <w:rPr>
          <w:rFonts w:ascii="Candara" w:hAnsi="Candara"/>
        </w:rPr>
      </w:pPr>
    </w:p>
    <w:p w14:paraId="3CA61E58" w14:textId="77777777" w:rsidR="008E736A" w:rsidRPr="005D10C1" w:rsidRDefault="008E736A" w:rsidP="001B24A9">
      <w:pPr>
        <w:pStyle w:val="Prrafodelista"/>
        <w:numPr>
          <w:ilvl w:val="0"/>
          <w:numId w:val="9"/>
        </w:numPr>
        <w:spacing w:line="360" w:lineRule="auto"/>
        <w:rPr>
          <w:rFonts w:ascii="Candara" w:hAnsi="Candara"/>
        </w:rPr>
      </w:pPr>
      <w:r w:rsidRPr="005D10C1">
        <w:rPr>
          <w:rFonts w:ascii="Candara" w:hAnsi="Candara"/>
        </w:rPr>
        <w:t xml:space="preserve">Colombia cuenta con un Sistema Nacional de Innovación del cual forman parte las políticas, estrategias, programas, metodologías y mecanismos para la gestión, promoción, financiación, protección y divulgación de la investigación científica y la innovación tecnológica, así como las organizaciones públicas, privadas o mixtas que realicen o promuevan el desarrollo de actividades científicas tecnológicas y de innovación. Nuestro país tiene poco porcentaje de Gasto de I+D en relación al PIB </w:t>
      </w:r>
      <w:r w:rsidR="00C562B7" w:rsidRPr="005D10C1">
        <w:rPr>
          <w:rFonts w:ascii="Candara" w:hAnsi="Candara"/>
        </w:rPr>
        <w:t>en comparación</w:t>
      </w:r>
      <w:r w:rsidRPr="005D10C1">
        <w:rPr>
          <w:rFonts w:ascii="Candara" w:hAnsi="Candara"/>
        </w:rPr>
        <w:t xml:space="preserve"> con los otros países que abordamos.</w:t>
      </w:r>
    </w:p>
    <w:p w14:paraId="4BE6DD60" w14:textId="77777777" w:rsidR="00FC15A1" w:rsidRPr="005D10C1" w:rsidRDefault="00FC15A1" w:rsidP="00FC15A1">
      <w:pPr>
        <w:pStyle w:val="Prrafodelista"/>
        <w:rPr>
          <w:rFonts w:ascii="Candara" w:hAnsi="Candara"/>
        </w:rPr>
      </w:pPr>
    </w:p>
    <w:p w14:paraId="72C789AF" w14:textId="77777777" w:rsidR="00FC15A1" w:rsidRPr="005D10C1" w:rsidRDefault="00FC15A1" w:rsidP="001B24A9">
      <w:pPr>
        <w:pStyle w:val="Prrafodelista"/>
        <w:numPr>
          <w:ilvl w:val="0"/>
          <w:numId w:val="9"/>
        </w:numPr>
        <w:spacing w:line="360" w:lineRule="auto"/>
        <w:rPr>
          <w:rFonts w:ascii="Candara" w:hAnsi="Candara"/>
        </w:rPr>
      </w:pPr>
      <w:r w:rsidRPr="005D10C1">
        <w:rPr>
          <w:rFonts w:ascii="Candara" w:hAnsi="Candara"/>
        </w:rPr>
        <w:t xml:space="preserve">Las actividades de transferencia de tecnología como un proceso estructurado desde las universidades colombianas es un fenómeno relativamente reciente.  Además la literatura relacionada con spin-off son escasas. </w:t>
      </w:r>
    </w:p>
    <w:p w14:paraId="6BF9E84C" w14:textId="77777777" w:rsidR="00CC2E17" w:rsidRPr="005D10C1" w:rsidRDefault="00CC2E17" w:rsidP="00CC2E17">
      <w:pPr>
        <w:pStyle w:val="Prrafodelista"/>
        <w:rPr>
          <w:rFonts w:ascii="Candara" w:hAnsi="Candara"/>
        </w:rPr>
      </w:pPr>
    </w:p>
    <w:p w14:paraId="6D5190D6" w14:textId="77777777" w:rsidR="00315A36" w:rsidRPr="005D10C1" w:rsidRDefault="00CC2E17" w:rsidP="00315A36">
      <w:pPr>
        <w:pStyle w:val="Prrafodelista"/>
        <w:numPr>
          <w:ilvl w:val="0"/>
          <w:numId w:val="9"/>
        </w:numPr>
        <w:spacing w:line="360" w:lineRule="auto"/>
        <w:rPr>
          <w:rFonts w:ascii="Candara" w:hAnsi="Candara"/>
        </w:rPr>
      </w:pPr>
      <w:r w:rsidRPr="005D10C1">
        <w:rPr>
          <w:rFonts w:ascii="Candara" w:hAnsi="Candara"/>
        </w:rPr>
        <w:t xml:space="preserve">La Universidad de Antioquia ha sido la única universidad pública colombiana en crear spin-off. La modalidad de creación de estas spin-off obedecen a contextos y circunstancias como la participación accionaria, los acuerdos de licenciamiento y alianzas estratégicas. </w:t>
      </w:r>
    </w:p>
    <w:p w14:paraId="6D2E4ADD" w14:textId="77777777" w:rsidR="004E7A94" w:rsidRPr="005D10C1" w:rsidRDefault="004E7A94" w:rsidP="004E7A94">
      <w:pPr>
        <w:pStyle w:val="Prrafodelista"/>
        <w:rPr>
          <w:rFonts w:ascii="Candara" w:hAnsi="Candara"/>
        </w:rPr>
      </w:pPr>
    </w:p>
    <w:p w14:paraId="23FAFA7F" w14:textId="77777777" w:rsidR="00315A36" w:rsidRPr="005D10C1" w:rsidRDefault="00315A36" w:rsidP="001B24A9">
      <w:pPr>
        <w:pStyle w:val="Prrafodelista"/>
        <w:numPr>
          <w:ilvl w:val="0"/>
          <w:numId w:val="9"/>
        </w:numPr>
        <w:spacing w:line="360" w:lineRule="auto"/>
        <w:rPr>
          <w:rFonts w:ascii="Candara" w:hAnsi="Candara"/>
        </w:rPr>
      </w:pPr>
      <w:r w:rsidRPr="005D10C1">
        <w:rPr>
          <w:rFonts w:ascii="Candara" w:hAnsi="Candara"/>
        </w:rPr>
        <w:t xml:space="preserve">Al analizar la información de referentes nacionales no se encuentran </w:t>
      </w:r>
      <w:r w:rsidRPr="005D10C1">
        <w:rPr>
          <w:rFonts w:ascii="Candara" w:hAnsi="Candara"/>
          <w:i/>
        </w:rPr>
        <w:t xml:space="preserve">spin-off </w:t>
      </w:r>
      <w:r w:rsidRPr="005D10C1">
        <w:rPr>
          <w:rFonts w:ascii="Candara" w:hAnsi="Candara"/>
        </w:rPr>
        <w:t>en el estricto sentido de la definición</w:t>
      </w:r>
      <w:r w:rsidR="004E7A94" w:rsidRPr="005D10C1">
        <w:rPr>
          <w:rFonts w:ascii="Candara" w:hAnsi="Candara"/>
        </w:rPr>
        <w:t xml:space="preserve"> que se tomó como base para el presente estudio, por est</w:t>
      </w:r>
      <w:r w:rsidRPr="005D10C1">
        <w:rPr>
          <w:rFonts w:ascii="Candara" w:hAnsi="Candara"/>
        </w:rPr>
        <w:t>a razón es relevante profundizar en la conceptualización</w:t>
      </w:r>
      <w:r w:rsidR="004E7A94" w:rsidRPr="005D10C1">
        <w:rPr>
          <w:rFonts w:ascii="Candara" w:hAnsi="Candara"/>
        </w:rPr>
        <w:t xml:space="preserve"> del término, ya que dependiendo de la misma se podría generar o no la inhabilidad del servidor público.</w:t>
      </w:r>
    </w:p>
    <w:p w14:paraId="6E689780" w14:textId="77777777" w:rsidR="00CC2E17" w:rsidRPr="005D10C1" w:rsidRDefault="00CC2E17" w:rsidP="00CC2E17">
      <w:pPr>
        <w:pStyle w:val="Prrafodelista"/>
        <w:rPr>
          <w:rFonts w:ascii="Candara" w:hAnsi="Candara"/>
        </w:rPr>
      </w:pPr>
    </w:p>
    <w:p w14:paraId="3D8900A3" w14:textId="77777777" w:rsidR="00C815FD" w:rsidRPr="005D10C1" w:rsidRDefault="00C815FD">
      <w:pPr>
        <w:rPr>
          <w:rFonts w:ascii="Candara" w:hAnsi="Candara"/>
        </w:rPr>
      </w:pPr>
    </w:p>
    <w:p w14:paraId="4BEA3FDC" w14:textId="77777777" w:rsidR="00C815FD" w:rsidRPr="005D10C1" w:rsidRDefault="004B54A6" w:rsidP="004B54A6">
      <w:pPr>
        <w:pStyle w:val="Ttulo1"/>
        <w:rPr>
          <w:rFonts w:ascii="Candara" w:hAnsi="Candara"/>
          <w:color w:val="auto"/>
        </w:rPr>
      </w:pPr>
      <w:bookmarkStart w:id="288" w:name="_Toc367346006"/>
      <w:bookmarkStart w:id="289" w:name="_Toc367346246"/>
      <w:bookmarkStart w:id="290" w:name="_Toc367346007"/>
      <w:bookmarkStart w:id="291" w:name="_Toc367346247"/>
      <w:bookmarkStart w:id="292" w:name="_Toc367346008"/>
      <w:bookmarkStart w:id="293" w:name="_Toc367346248"/>
      <w:bookmarkStart w:id="294" w:name="_Toc367346009"/>
      <w:bookmarkStart w:id="295" w:name="_Toc367346249"/>
      <w:bookmarkStart w:id="296" w:name="_Toc367346010"/>
      <w:bookmarkStart w:id="297" w:name="_Toc367346250"/>
      <w:bookmarkStart w:id="298" w:name="_Toc367346011"/>
      <w:bookmarkStart w:id="299" w:name="_Toc367346251"/>
      <w:bookmarkStart w:id="300" w:name="_Toc367346012"/>
      <w:bookmarkStart w:id="301" w:name="_Toc367346252"/>
      <w:bookmarkStart w:id="302" w:name="_Toc367346013"/>
      <w:bookmarkStart w:id="303" w:name="_Toc367346253"/>
      <w:bookmarkStart w:id="304" w:name="_Toc367346014"/>
      <w:bookmarkStart w:id="305" w:name="_Toc367346254"/>
      <w:bookmarkStart w:id="306" w:name="_Toc367346015"/>
      <w:bookmarkStart w:id="307" w:name="_Toc367346255"/>
      <w:bookmarkStart w:id="308" w:name="_Toc367346016"/>
      <w:bookmarkStart w:id="309" w:name="_Toc367346256"/>
      <w:bookmarkStart w:id="310" w:name="_Toc367346017"/>
      <w:bookmarkStart w:id="311" w:name="_Toc367346257"/>
      <w:bookmarkStart w:id="312" w:name="_Toc367346018"/>
      <w:bookmarkStart w:id="313" w:name="_Toc367346258"/>
      <w:bookmarkStart w:id="314" w:name="_Toc367346019"/>
      <w:bookmarkStart w:id="315" w:name="_Toc367346259"/>
      <w:bookmarkStart w:id="316" w:name="_Toc367346020"/>
      <w:bookmarkStart w:id="317" w:name="_Toc367346260"/>
      <w:bookmarkStart w:id="318" w:name="_Toc367346021"/>
      <w:bookmarkStart w:id="319" w:name="_Toc367346261"/>
      <w:bookmarkStart w:id="320" w:name="_Toc367346022"/>
      <w:bookmarkStart w:id="321" w:name="_Toc367346262"/>
      <w:bookmarkStart w:id="322" w:name="_Toc367346023"/>
      <w:bookmarkStart w:id="323" w:name="_Toc367346263"/>
      <w:bookmarkStart w:id="324" w:name="_Toc367346058"/>
      <w:bookmarkStart w:id="325" w:name="_Toc367346298"/>
      <w:bookmarkStart w:id="326" w:name="_Toc367346062"/>
      <w:bookmarkStart w:id="327" w:name="_Toc367346302"/>
      <w:bookmarkStart w:id="328" w:name="_Toc367346066"/>
      <w:bookmarkStart w:id="329" w:name="_Toc367346306"/>
      <w:bookmarkStart w:id="330" w:name="_Toc367346067"/>
      <w:bookmarkStart w:id="331" w:name="_Toc367346307"/>
      <w:bookmarkStart w:id="332" w:name="_Toc367346068"/>
      <w:bookmarkStart w:id="333" w:name="_Toc367346308"/>
      <w:bookmarkStart w:id="334" w:name="_Toc377653164"/>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r w:rsidRPr="005D10C1">
        <w:rPr>
          <w:rFonts w:ascii="Candara" w:hAnsi="Candara"/>
          <w:color w:val="auto"/>
        </w:rPr>
        <w:t>Referencias Bibliográficas</w:t>
      </w:r>
      <w:bookmarkEnd w:id="334"/>
    </w:p>
    <w:p w14:paraId="74A0C22C" w14:textId="77777777" w:rsidR="00C43C91" w:rsidRPr="005D10C1" w:rsidRDefault="00C43C91" w:rsidP="00C43C91">
      <w:pPr>
        <w:rPr>
          <w:rFonts w:ascii="Candara" w:hAnsi="Candara"/>
        </w:rPr>
      </w:pPr>
    </w:p>
    <w:p w14:paraId="5645F75C" w14:textId="77777777" w:rsidR="00CA1A09" w:rsidRPr="005D10C1" w:rsidRDefault="003B0D24">
      <w:pPr>
        <w:pStyle w:val="NormalWeb"/>
        <w:ind w:left="480" w:hanging="480"/>
        <w:divId w:val="602030852"/>
        <w:rPr>
          <w:rFonts w:ascii="Candara" w:hAnsi="Candara"/>
          <w:noProof/>
          <w:lang w:val="en-US"/>
        </w:rPr>
      </w:pPr>
      <w:r w:rsidRPr="005D10C1">
        <w:rPr>
          <w:rFonts w:ascii="Candara" w:hAnsi="Candara"/>
        </w:rPr>
        <w:fldChar w:fldCharType="begin" w:fldLock="1"/>
      </w:r>
      <w:r w:rsidR="00C43C91" w:rsidRPr="005D10C1">
        <w:rPr>
          <w:rFonts w:ascii="Candara" w:hAnsi="Candara"/>
        </w:rPr>
        <w:instrText xml:space="preserve">ADDIN Mendeley Bibliography CSL_BIBLIOGRAPHY </w:instrText>
      </w:r>
      <w:r w:rsidRPr="005D10C1">
        <w:rPr>
          <w:rFonts w:ascii="Candara" w:hAnsi="Candara"/>
        </w:rPr>
        <w:fldChar w:fldCharType="separate"/>
      </w:r>
      <w:r w:rsidR="00CA1A09" w:rsidRPr="005D10C1">
        <w:rPr>
          <w:rFonts w:ascii="Candara" w:hAnsi="Candara"/>
          <w:noProof/>
        </w:rPr>
        <w:t xml:space="preserve">¿Pueden las universidades públicas crear Spin-Off? </w:t>
      </w:r>
      <w:r w:rsidR="00CA1A09" w:rsidRPr="005D10C1">
        <w:rPr>
          <w:rFonts w:ascii="Candara" w:hAnsi="Candara"/>
          <w:noProof/>
          <w:lang w:val="en-US"/>
        </w:rPr>
        <w:t>(2012). Retrieved from http://www.udea.edu.co/portal/page/portal/BibliotecaInvestigacion/InformacionGeneral/utilidades/documentos/Relatoria Spin Off.pdf</w:t>
      </w:r>
    </w:p>
    <w:p w14:paraId="552F7B7B" w14:textId="77777777" w:rsidR="00CA1A09" w:rsidRPr="005D10C1" w:rsidRDefault="00CA1A09">
      <w:pPr>
        <w:pStyle w:val="NormalWeb"/>
        <w:ind w:left="480" w:hanging="480"/>
        <w:divId w:val="602030852"/>
        <w:rPr>
          <w:rFonts w:ascii="Candara" w:hAnsi="Candara"/>
          <w:noProof/>
        </w:rPr>
      </w:pPr>
      <w:r w:rsidRPr="005D10C1">
        <w:rPr>
          <w:rFonts w:ascii="Candara" w:hAnsi="Candara"/>
          <w:noProof/>
        </w:rPr>
        <w:t>Agendas de conocimiento. (n.d.). Retrieved from http://www.viceinvestigacion.unal.edu.co/VRI/index.php?option=com_content&amp;view=category&amp;id=34&amp;layout=blog&amp;Itemid=117</w:t>
      </w:r>
    </w:p>
    <w:p w14:paraId="19A10F94" w14:textId="77777777" w:rsidR="00CA1A09" w:rsidRPr="005D10C1" w:rsidRDefault="00CA1A09">
      <w:pPr>
        <w:pStyle w:val="NormalWeb"/>
        <w:ind w:left="480" w:hanging="480"/>
        <w:divId w:val="602030852"/>
        <w:rPr>
          <w:rFonts w:ascii="Candara" w:hAnsi="Candara"/>
          <w:noProof/>
          <w:lang w:val="en-US"/>
        </w:rPr>
      </w:pPr>
      <w:r w:rsidRPr="00AC592C">
        <w:rPr>
          <w:rFonts w:ascii="Candara" w:hAnsi="Candara"/>
          <w:noProof/>
        </w:rPr>
        <w:t xml:space="preserve">Algieri, B., Aquino, A., &amp; Succurro, M. (2011). </w:t>
      </w:r>
      <w:r w:rsidRPr="005D10C1">
        <w:rPr>
          <w:rFonts w:ascii="Candara" w:hAnsi="Candara"/>
          <w:noProof/>
          <w:lang w:val="en-US"/>
        </w:rPr>
        <w:t xml:space="preserve">Technology transfer offices and academic spin-off creation: the case of Italy. </w:t>
      </w:r>
      <w:r w:rsidRPr="005D10C1">
        <w:rPr>
          <w:rFonts w:ascii="Candara" w:hAnsi="Candara"/>
          <w:i/>
          <w:iCs/>
          <w:noProof/>
          <w:lang w:val="en-US"/>
        </w:rPr>
        <w:t>The Journal of Technology Transfer</w:t>
      </w:r>
      <w:r w:rsidRPr="005D10C1">
        <w:rPr>
          <w:rFonts w:ascii="Candara" w:hAnsi="Candara"/>
          <w:noProof/>
          <w:lang w:val="en-US"/>
        </w:rPr>
        <w:t>. doi:10.1007/s10961-011-9241-8</w:t>
      </w:r>
    </w:p>
    <w:p w14:paraId="52DF57D6" w14:textId="77777777" w:rsidR="00CA1A09" w:rsidRPr="005D10C1" w:rsidRDefault="00CA1A09">
      <w:pPr>
        <w:pStyle w:val="NormalWeb"/>
        <w:ind w:left="480" w:hanging="480"/>
        <w:divId w:val="602030852"/>
        <w:rPr>
          <w:rFonts w:ascii="Candara" w:hAnsi="Candara"/>
          <w:noProof/>
          <w:lang w:val="en-US"/>
        </w:rPr>
      </w:pPr>
      <w:r w:rsidRPr="005D10C1">
        <w:rPr>
          <w:rFonts w:ascii="Candara" w:hAnsi="Candara"/>
          <w:noProof/>
          <w:lang w:val="en-US"/>
        </w:rPr>
        <w:t xml:space="preserve">Araújo, M. H., Oliveira, L. C. A., Cabral, P. R. M., Cheng, L. C., Borges, C., &amp; Filion, L. (2005). </w:t>
      </w:r>
      <w:r w:rsidRPr="005D10C1">
        <w:rPr>
          <w:rFonts w:ascii="Candara" w:hAnsi="Candara"/>
          <w:noProof/>
          <w:lang w:val="pt-BR"/>
        </w:rPr>
        <w:t xml:space="preserve">SPIN-OFF” ACADÊMICO: CRIANDO RIQUEZAS A PARTIR DE CONHECIMENTO E PESQUISA. </w:t>
      </w:r>
      <w:r w:rsidRPr="005D10C1">
        <w:rPr>
          <w:rFonts w:ascii="Candara" w:hAnsi="Candara"/>
          <w:i/>
          <w:iCs/>
          <w:noProof/>
          <w:lang w:val="en-US"/>
        </w:rPr>
        <w:t>Quim Nova</w:t>
      </w:r>
      <w:r w:rsidRPr="005D10C1">
        <w:rPr>
          <w:rFonts w:ascii="Candara" w:hAnsi="Candara"/>
          <w:noProof/>
          <w:lang w:val="en-US"/>
        </w:rPr>
        <w:t xml:space="preserve">, </w:t>
      </w:r>
      <w:r w:rsidRPr="005D10C1">
        <w:rPr>
          <w:rFonts w:ascii="Candara" w:hAnsi="Candara"/>
          <w:i/>
          <w:iCs/>
          <w:noProof/>
          <w:lang w:val="en-US"/>
        </w:rPr>
        <w:t>28</w:t>
      </w:r>
      <w:r w:rsidRPr="005D10C1">
        <w:rPr>
          <w:rFonts w:ascii="Candara" w:hAnsi="Candara"/>
          <w:noProof/>
          <w:lang w:val="en-US"/>
        </w:rPr>
        <w:t>, 26–35.</w:t>
      </w:r>
    </w:p>
    <w:p w14:paraId="5D3999FC" w14:textId="77777777" w:rsidR="00CA1A09" w:rsidRPr="005D10C1" w:rsidRDefault="00CA1A09">
      <w:pPr>
        <w:pStyle w:val="NormalWeb"/>
        <w:ind w:left="480" w:hanging="480"/>
        <w:divId w:val="602030852"/>
        <w:rPr>
          <w:rFonts w:ascii="Candara" w:hAnsi="Candara"/>
          <w:noProof/>
          <w:lang w:val="pt-BR"/>
        </w:rPr>
      </w:pPr>
      <w:r w:rsidRPr="005D10C1">
        <w:rPr>
          <w:rFonts w:ascii="Candara" w:hAnsi="Candara"/>
          <w:noProof/>
          <w:lang w:val="en-US"/>
        </w:rPr>
        <w:t xml:space="preserve">Bagi, I., &amp; Balint, A. (2009). The importance of spin-off companies in R&amp;D activities. In </w:t>
      </w:r>
      <w:r w:rsidRPr="005D10C1">
        <w:rPr>
          <w:rFonts w:ascii="Candara" w:hAnsi="Candara"/>
          <w:i/>
          <w:iCs/>
          <w:noProof/>
          <w:lang w:val="en-US"/>
        </w:rPr>
        <w:t>2009 16th International Conference on Industrial Engineering and Engineering Management</w:t>
      </w:r>
      <w:r w:rsidRPr="005D10C1">
        <w:rPr>
          <w:rFonts w:ascii="Candara" w:hAnsi="Candara"/>
          <w:noProof/>
          <w:lang w:val="en-US"/>
        </w:rPr>
        <w:t xml:space="preserve"> (pp. 525–529). </w:t>
      </w:r>
      <w:r w:rsidRPr="005D10C1">
        <w:rPr>
          <w:rFonts w:ascii="Candara" w:hAnsi="Candara"/>
          <w:noProof/>
          <w:lang w:val="pt-BR"/>
        </w:rPr>
        <w:t>IEEE. doi:10.1109/ICIEEM.2009.5344535</w:t>
      </w:r>
    </w:p>
    <w:p w14:paraId="05D5524F" w14:textId="77777777" w:rsidR="00CA1A09" w:rsidRPr="005D10C1" w:rsidRDefault="00CA1A09">
      <w:pPr>
        <w:pStyle w:val="NormalWeb"/>
        <w:ind w:left="480" w:hanging="480"/>
        <w:divId w:val="602030852"/>
        <w:rPr>
          <w:rFonts w:ascii="Candara" w:hAnsi="Candara"/>
          <w:noProof/>
          <w:lang w:val="pt-BR"/>
        </w:rPr>
      </w:pPr>
      <w:r w:rsidRPr="005D10C1">
        <w:rPr>
          <w:rFonts w:ascii="Candara" w:hAnsi="Candara"/>
          <w:noProof/>
          <w:lang w:val="pt-BR"/>
        </w:rPr>
        <w:t>Banco Mundial. (2013). Banco Mundial. Retrieved from http://www.bancomundial.org/</w:t>
      </w:r>
    </w:p>
    <w:p w14:paraId="63C35A8B" w14:textId="77777777" w:rsidR="00CA1A09" w:rsidRPr="005D10C1" w:rsidRDefault="00CA1A09">
      <w:pPr>
        <w:pStyle w:val="NormalWeb"/>
        <w:ind w:left="480" w:hanging="480"/>
        <w:divId w:val="602030852"/>
        <w:rPr>
          <w:rFonts w:ascii="Candara" w:hAnsi="Candara"/>
          <w:noProof/>
        </w:rPr>
      </w:pPr>
      <w:r w:rsidRPr="005D10C1">
        <w:rPr>
          <w:rFonts w:ascii="Candara" w:hAnsi="Candara"/>
          <w:noProof/>
          <w:lang w:val="en-US"/>
        </w:rPr>
        <w:t xml:space="preserve">Bathelt, H., Kogler, D. F., &amp; Munro, A. K. (2010). A knowledge-based typology of university spin-offs in the context of regional economic development. </w:t>
      </w:r>
      <w:r w:rsidRPr="005D10C1">
        <w:rPr>
          <w:rFonts w:ascii="Candara" w:hAnsi="Candara"/>
          <w:i/>
          <w:iCs/>
          <w:noProof/>
        </w:rPr>
        <w:t>Technovation</w:t>
      </w:r>
      <w:r w:rsidRPr="005D10C1">
        <w:rPr>
          <w:rFonts w:ascii="Candara" w:hAnsi="Candara"/>
          <w:noProof/>
        </w:rPr>
        <w:t xml:space="preserve">, </w:t>
      </w:r>
      <w:r w:rsidRPr="005D10C1">
        <w:rPr>
          <w:rFonts w:ascii="Candara" w:hAnsi="Candara"/>
          <w:i/>
          <w:iCs/>
          <w:noProof/>
        </w:rPr>
        <w:t>30</w:t>
      </w:r>
      <w:r w:rsidRPr="005D10C1">
        <w:rPr>
          <w:rFonts w:ascii="Candara" w:hAnsi="Candara"/>
          <w:noProof/>
        </w:rPr>
        <w:t>(9-10), 519–532. doi:10.1016/j.technovation.2010.04.003</w:t>
      </w:r>
    </w:p>
    <w:p w14:paraId="58756907" w14:textId="77777777" w:rsidR="00CA1A09" w:rsidRPr="005D10C1" w:rsidRDefault="00CA1A09">
      <w:pPr>
        <w:pStyle w:val="NormalWeb"/>
        <w:ind w:left="480" w:hanging="480"/>
        <w:divId w:val="602030852"/>
        <w:rPr>
          <w:rFonts w:ascii="Candara" w:hAnsi="Candara"/>
          <w:noProof/>
        </w:rPr>
      </w:pPr>
      <w:r w:rsidRPr="005D10C1">
        <w:rPr>
          <w:rFonts w:ascii="Candara" w:hAnsi="Candara"/>
          <w:noProof/>
        </w:rPr>
        <w:t xml:space="preserve">Beraza, J. M. (2010). </w:t>
      </w:r>
      <w:r w:rsidRPr="005D10C1">
        <w:rPr>
          <w:rFonts w:ascii="Candara" w:hAnsi="Candara"/>
          <w:i/>
          <w:iCs/>
          <w:noProof/>
        </w:rPr>
        <w:t>Los programas de apoyo a la creación de spin-offs académicas en las universidades españolas: una comparación internacional</w:t>
      </w:r>
      <w:r w:rsidRPr="005D10C1">
        <w:rPr>
          <w:rFonts w:ascii="Candara" w:hAnsi="Candara"/>
          <w:noProof/>
        </w:rPr>
        <w:t>. Universidad del País Vasco.</w:t>
      </w:r>
    </w:p>
    <w:p w14:paraId="2B4B05EA" w14:textId="77777777" w:rsidR="00CA1A09" w:rsidRPr="005D10C1" w:rsidRDefault="00CA1A09">
      <w:pPr>
        <w:pStyle w:val="NormalWeb"/>
        <w:ind w:left="480" w:hanging="480"/>
        <w:divId w:val="602030852"/>
        <w:rPr>
          <w:rFonts w:ascii="Candara" w:hAnsi="Candara"/>
          <w:noProof/>
        </w:rPr>
      </w:pPr>
      <w:r w:rsidRPr="005D10C1">
        <w:rPr>
          <w:rFonts w:ascii="Candara" w:hAnsi="Candara"/>
          <w:noProof/>
        </w:rPr>
        <w:t xml:space="preserve">Berumen, S. A. (2011). </w:t>
      </w:r>
      <w:r w:rsidRPr="005D10C1">
        <w:rPr>
          <w:rFonts w:ascii="Candara" w:hAnsi="Candara"/>
          <w:i/>
          <w:iCs/>
          <w:noProof/>
        </w:rPr>
        <w:t>Los sistemas de innovación en Europa</w:t>
      </w:r>
      <w:r w:rsidRPr="005D10C1">
        <w:rPr>
          <w:rFonts w:ascii="Candara" w:hAnsi="Candara"/>
          <w:noProof/>
        </w:rPr>
        <w:t xml:space="preserve"> (p. 398). Pozuelo de Alarcón (Madrid): ESIC Editorial. Retrieved from http://books.google.com/books?id=RQcLAdCejtUC&amp;pgis=1</w:t>
      </w:r>
    </w:p>
    <w:p w14:paraId="782EA9B6" w14:textId="77777777" w:rsidR="00CA1A09" w:rsidRPr="005D10C1" w:rsidRDefault="00CA1A09">
      <w:pPr>
        <w:pStyle w:val="NormalWeb"/>
        <w:ind w:left="480" w:hanging="480"/>
        <w:divId w:val="602030852"/>
        <w:rPr>
          <w:rFonts w:ascii="Candara" w:hAnsi="Candara"/>
          <w:noProof/>
          <w:lang w:val="en-US"/>
        </w:rPr>
      </w:pPr>
      <w:r w:rsidRPr="005D10C1">
        <w:rPr>
          <w:rFonts w:ascii="Candara" w:hAnsi="Candara"/>
          <w:noProof/>
        </w:rPr>
        <w:t xml:space="preserve">Bioinnco amasa una fórmula para prevenir el cáncer. </w:t>
      </w:r>
      <w:r w:rsidRPr="005D10C1">
        <w:rPr>
          <w:rFonts w:ascii="Candara" w:hAnsi="Candara"/>
          <w:noProof/>
          <w:lang w:val="en-US"/>
        </w:rPr>
        <w:t>(2013). Retrieved from http://www.universidadempresaestado.com.co/index.php?option=com_content&amp;</w:t>
      </w:r>
      <w:r w:rsidRPr="005D10C1">
        <w:rPr>
          <w:rFonts w:ascii="Candara" w:hAnsi="Candara"/>
          <w:noProof/>
          <w:lang w:val="en-US"/>
        </w:rPr>
        <w:lastRenderedPageBreak/>
        <w:t>view=article&amp;id=24:bioinnco-amasa-una-formula-para-prevenir-el-cancer&amp;catid=12:spin-off&amp;Itemid=26</w:t>
      </w:r>
    </w:p>
    <w:p w14:paraId="3131A4CD" w14:textId="77777777" w:rsidR="00CA1A09" w:rsidRPr="005D10C1" w:rsidRDefault="00CA1A09">
      <w:pPr>
        <w:pStyle w:val="NormalWeb"/>
        <w:ind w:left="480" w:hanging="480"/>
        <w:divId w:val="602030852"/>
        <w:rPr>
          <w:rFonts w:ascii="Candara" w:hAnsi="Candara"/>
          <w:noProof/>
          <w:lang w:val="en-US"/>
        </w:rPr>
      </w:pPr>
      <w:r w:rsidRPr="005D10C1">
        <w:rPr>
          <w:rFonts w:ascii="Candara" w:hAnsi="Candara"/>
          <w:noProof/>
          <w:lang w:val="en-US"/>
        </w:rPr>
        <w:t>Bpifrance - Banque Publique d’Investissement. (2013). Retrieved September 26, 2013, from http://www.bpifrance.fr/autre/bpifrance_in_english</w:t>
      </w:r>
    </w:p>
    <w:p w14:paraId="588C25B6" w14:textId="77777777" w:rsidR="00CA1A09" w:rsidRPr="005D10C1" w:rsidRDefault="00CA1A09">
      <w:pPr>
        <w:pStyle w:val="NormalWeb"/>
        <w:ind w:left="480" w:hanging="480"/>
        <w:divId w:val="602030852"/>
        <w:rPr>
          <w:rFonts w:ascii="Candara" w:hAnsi="Candara"/>
          <w:noProof/>
          <w:lang w:val="en-US"/>
        </w:rPr>
      </w:pPr>
      <w:r w:rsidRPr="005D10C1">
        <w:rPr>
          <w:rFonts w:ascii="Candara" w:hAnsi="Candara"/>
          <w:noProof/>
          <w:lang w:val="en-US"/>
        </w:rPr>
        <w:t xml:space="preserve">Bray, M., &amp; Lee, J. (2000). University revenues from technology transfer: Licensing fees vs. equity positions. </w:t>
      </w:r>
      <w:r w:rsidRPr="005D10C1">
        <w:rPr>
          <w:rFonts w:ascii="Candara" w:hAnsi="Candara"/>
          <w:i/>
          <w:iCs/>
          <w:noProof/>
          <w:lang w:val="en-US"/>
        </w:rPr>
        <w:t>Journal of Business Venturing</w:t>
      </w:r>
      <w:r w:rsidRPr="005D10C1">
        <w:rPr>
          <w:rFonts w:ascii="Candara" w:hAnsi="Candara"/>
          <w:noProof/>
          <w:lang w:val="en-US"/>
        </w:rPr>
        <w:t>. Retrieved from http://www.sciencedirect.com/science/article/pii/S0883902698000342</w:t>
      </w:r>
    </w:p>
    <w:p w14:paraId="138F9DC6" w14:textId="77777777" w:rsidR="00CA1A09" w:rsidRPr="00AC592C" w:rsidRDefault="00CA1A09">
      <w:pPr>
        <w:pStyle w:val="NormalWeb"/>
        <w:ind w:left="480" w:hanging="480"/>
        <w:divId w:val="602030852"/>
        <w:rPr>
          <w:rFonts w:ascii="Candara" w:hAnsi="Candara"/>
          <w:noProof/>
        </w:rPr>
      </w:pPr>
      <w:r w:rsidRPr="005D10C1">
        <w:rPr>
          <w:rFonts w:ascii="Candara" w:hAnsi="Candara"/>
          <w:noProof/>
        </w:rPr>
        <w:t xml:space="preserve">Buesa, M. (2006). El Sistema Nacional de Innovación en España. </w:t>
      </w:r>
      <w:r w:rsidRPr="005D10C1">
        <w:rPr>
          <w:rFonts w:ascii="Candara" w:hAnsi="Candara"/>
          <w:i/>
          <w:iCs/>
          <w:noProof/>
        </w:rPr>
        <w:t>Revista Madri+d Número Especial. 20 AÑOS DE LA LEY DE LA CIENCIA.</w:t>
      </w:r>
      <w:r w:rsidRPr="005D10C1">
        <w:rPr>
          <w:rFonts w:ascii="Candara" w:hAnsi="Candara"/>
          <w:noProof/>
        </w:rPr>
        <w:t xml:space="preserve"> </w:t>
      </w:r>
      <w:r w:rsidRPr="00AC592C">
        <w:rPr>
          <w:rFonts w:ascii="Candara" w:hAnsi="Candara"/>
          <w:noProof/>
        </w:rPr>
        <w:t>Retrieved September 18, 2013, from http://www.madrimasd.org/revista/revistaespecial1/articulos/buesa.asp</w:t>
      </w:r>
    </w:p>
    <w:p w14:paraId="07A46291" w14:textId="77777777" w:rsidR="00CA1A09" w:rsidRPr="005D10C1" w:rsidRDefault="00CA1A09">
      <w:pPr>
        <w:pStyle w:val="NormalWeb"/>
        <w:ind w:left="480" w:hanging="480"/>
        <w:divId w:val="602030852"/>
        <w:rPr>
          <w:rFonts w:ascii="Candara" w:hAnsi="Candara"/>
          <w:noProof/>
          <w:lang w:val="en-US"/>
        </w:rPr>
      </w:pPr>
      <w:r w:rsidRPr="005D10C1">
        <w:rPr>
          <w:rFonts w:ascii="Candara" w:hAnsi="Candara"/>
          <w:noProof/>
        </w:rPr>
        <w:t xml:space="preserve">Buesa, M. (2012). El Sistema Nacional de Innovación en España: Un Panorama. </w:t>
      </w:r>
      <w:r w:rsidRPr="005D10C1">
        <w:rPr>
          <w:rFonts w:ascii="Candara" w:hAnsi="Candara"/>
          <w:i/>
          <w:iCs/>
          <w:noProof/>
          <w:lang w:val="en-US"/>
        </w:rPr>
        <w:t>Innovación y competitividad</w:t>
      </w:r>
      <w:r w:rsidRPr="005D10C1">
        <w:rPr>
          <w:rFonts w:ascii="Candara" w:hAnsi="Candara"/>
          <w:noProof/>
          <w:lang w:val="en-US"/>
        </w:rPr>
        <w:t>, 7–42.</w:t>
      </w:r>
    </w:p>
    <w:p w14:paraId="4865F98A" w14:textId="77777777" w:rsidR="00CA1A09" w:rsidRPr="00AC592C" w:rsidRDefault="00CA1A09">
      <w:pPr>
        <w:pStyle w:val="NormalWeb"/>
        <w:ind w:left="480" w:hanging="480"/>
        <w:divId w:val="602030852"/>
        <w:rPr>
          <w:rFonts w:ascii="Candara" w:hAnsi="Candara"/>
          <w:noProof/>
        </w:rPr>
      </w:pPr>
      <w:r w:rsidRPr="005D10C1">
        <w:rPr>
          <w:rFonts w:ascii="Candara" w:hAnsi="Candara"/>
          <w:noProof/>
          <w:lang w:val="en-US"/>
        </w:rPr>
        <w:t xml:space="preserve">Caldera, A., &amp; Debande, O. (2010). Performance of Spanish universities in technology transfer: An empirical analysis. </w:t>
      </w:r>
      <w:r w:rsidRPr="00AC592C">
        <w:rPr>
          <w:rFonts w:ascii="Candara" w:hAnsi="Candara"/>
          <w:i/>
          <w:iCs/>
          <w:noProof/>
        </w:rPr>
        <w:t>Research Policy</w:t>
      </w:r>
      <w:r w:rsidRPr="00AC592C">
        <w:rPr>
          <w:rFonts w:ascii="Candara" w:hAnsi="Candara"/>
          <w:noProof/>
        </w:rPr>
        <w:t xml:space="preserve">, </w:t>
      </w:r>
      <w:r w:rsidRPr="00AC592C">
        <w:rPr>
          <w:rFonts w:ascii="Candara" w:hAnsi="Candara"/>
          <w:i/>
          <w:iCs/>
          <w:noProof/>
        </w:rPr>
        <w:t>39</w:t>
      </w:r>
      <w:r w:rsidRPr="00AC592C">
        <w:rPr>
          <w:rFonts w:ascii="Candara" w:hAnsi="Candara"/>
          <w:noProof/>
        </w:rPr>
        <w:t>(9), 1160–1173. doi:10.1016/j.respol.2010.05.016</w:t>
      </w:r>
    </w:p>
    <w:p w14:paraId="0B230B10" w14:textId="77777777" w:rsidR="00CA1A09" w:rsidRPr="00AC592C" w:rsidRDefault="00CA1A09">
      <w:pPr>
        <w:pStyle w:val="NormalWeb"/>
        <w:ind w:left="480" w:hanging="480"/>
        <w:divId w:val="602030852"/>
        <w:rPr>
          <w:rFonts w:ascii="Candara" w:hAnsi="Candara"/>
          <w:noProof/>
        </w:rPr>
      </w:pPr>
      <w:r w:rsidRPr="00AC592C">
        <w:rPr>
          <w:rFonts w:ascii="Candara" w:hAnsi="Candara"/>
          <w:noProof/>
        </w:rPr>
        <w:t>Carvalho, P. (2013). Politica PI y estratégias el processo de emprendedorismo, creación e incubacíon de la Spin-off.</w:t>
      </w:r>
    </w:p>
    <w:p w14:paraId="5A6C15D0" w14:textId="77777777" w:rsidR="00CA1A09" w:rsidRPr="005D10C1" w:rsidRDefault="00CA1A09">
      <w:pPr>
        <w:pStyle w:val="NormalWeb"/>
        <w:ind w:left="480" w:hanging="480"/>
        <w:divId w:val="602030852"/>
        <w:rPr>
          <w:rFonts w:ascii="Candara" w:hAnsi="Candara"/>
          <w:noProof/>
          <w:lang w:val="en-US"/>
        </w:rPr>
      </w:pPr>
      <w:r w:rsidRPr="005D10C1">
        <w:rPr>
          <w:rFonts w:ascii="Candara" w:hAnsi="Candara"/>
          <w:noProof/>
          <w:lang w:val="en-US"/>
        </w:rPr>
        <w:t xml:space="preserve">Clarysse, B. (2000). Spin-Off formation across Europe. </w:t>
      </w:r>
      <w:r w:rsidRPr="005D10C1">
        <w:rPr>
          <w:rFonts w:ascii="Candara" w:hAnsi="Candara"/>
          <w:i/>
          <w:iCs/>
          <w:noProof/>
          <w:lang w:val="en-US"/>
        </w:rPr>
        <w:t>Workshop OECD</w:t>
      </w:r>
      <w:r w:rsidRPr="005D10C1">
        <w:rPr>
          <w:rFonts w:ascii="Candara" w:hAnsi="Candara"/>
          <w:noProof/>
          <w:lang w:val="en-US"/>
        </w:rPr>
        <w:t>. Retrieved from http://scholar.google.com.co/scholar?q=“Spin-Off+formation+across+Europe”,&amp;btnG=&amp;hl=en&amp;as_sdt=0,5#0</w:t>
      </w:r>
    </w:p>
    <w:p w14:paraId="7F8DC4D2" w14:textId="77777777" w:rsidR="00CA1A09" w:rsidRPr="005D10C1" w:rsidRDefault="00CA1A09">
      <w:pPr>
        <w:pStyle w:val="NormalWeb"/>
        <w:ind w:left="480" w:hanging="480"/>
        <w:divId w:val="602030852"/>
        <w:rPr>
          <w:rFonts w:ascii="Candara" w:hAnsi="Candara"/>
          <w:noProof/>
        </w:rPr>
      </w:pPr>
      <w:r w:rsidRPr="005D10C1">
        <w:rPr>
          <w:rFonts w:ascii="Candara" w:hAnsi="Candara"/>
          <w:noProof/>
          <w:lang w:val="fr-FR"/>
        </w:rPr>
        <w:t xml:space="preserve">Clarysse, B., Tartari, V., &amp; Salter, A. (2011). </w:t>
      </w:r>
      <w:r w:rsidRPr="005D10C1">
        <w:rPr>
          <w:rFonts w:ascii="Candara" w:hAnsi="Candara"/>
          <w:noProof/>
          <w:lang w:val="en-US"/>
        </w:rPr>
        <w:t xml:space="preserve">The impact of entrepreneurial capacity, experience and organizational support on academic entrepreneurship. </w:t>
      </w:r>
      <w:r w:rsidRPr="005D10C1">
        <w:rPr>
          <w:rFonts w:ascii="Candara" w:hAnsi="Candara"/>
          <w:i/>
          <w:iCs/>
          <w:noProof/>
        </w:rPr>
        <w:t>Research Policy</w:t>
      </w:r>
      <w:r w:rsidRPr="005D10C1">
        <w:rPr>
          <w:rFonts w:ascii="Candara" w:hAnsi="Candara"/>
          <w:noProof/>
        </w:rPr>
        <w:t xml:space="preserve">, </w:t>
      </w:r>
      <w:r w:rsidRPr="005D10C1">
        <w:rPr>
          <w:rFonts w:ascii="Candara" w:hAnsi="Candara"/>
          <w:i/>
          <w:iCs/>
          <w:noProof/>
        </w:rPr>
        <w:t>40</w:t>
      </w:r>
      <w:r w:rsidRPr="005D10C1">
        <w:rPr>
          <w:rFonts w:ascii="Candara" w:hAnsi="Candara"/>
          <w:noProof/>
        </w:rPr>
        <w:t>(8), 1084–1093. doi:10.1016/j.respol.2011.05.010</w:t>
      </w:r>
    </w:p>
    <w:p w14:paraId="7CC49A95" w14:textId="77777777" w:rsidR="00CA1A09" w:rsidRPr="005D10C1" w:rsidRDefault="00CA1A09">
      <w:pPr>
        <w:pStyle w:val="NormalWeb"/>
        <w:ind w:left="480" w:hanging="480"/>
        <w:divId w:val="602030852"/>
        <w:rPr>
          <w:rFonts w:ascii="Candara" w:hAnsi="Candara"/>
          <w:noProof/>
          <w:lang w:val="en-US"/>
        </w:rPr>
      </w:pPr>
      <w:r w:rsidRPr="005D10C1">
        <w:rPr>
          <w:rFonts w:ascii="Candara" w:hAnsi="Candara"/>
          <w:noProof/>
        </w:rPr>
        <w:t xml:space="preserve">Colciencias. (2013a). Colciencias mantendrá su apoyo a los Centros de Investigación de Excelencia. </w:t>
      </w:r>
      <w:r w:rsidRPr="005D10C1">
        <w:rPr>
          <w:rFonts w:ascii="Candara" w:hAnsi="Candara"/>
          <w:noProof/>
          <w:lang w:val="en-US"/>
        </w:rPr>
        <w:t>Retrieved from http://www.colciencias.gov.co/noticias/colciencias-mantendr-su-apoyo-los-centros-de-investigaci-n-de-excelencia</w:t>
      </w:r>
    </w:p>
    <w:p w14:paraId="1D6B2E5B" w14:textId="77777777" w:rsidR="00CA1A09" w:rsidRPr="005D10C1" w:rsidRDefault="00CA1A09">
      <w:pPr>
        <w:pStyle w:val="NormalWeb"/>
        <w:ind w:left="480" w:hanging="480"/>
        <w:divId w:val="602030852"/>
        <w:rPr>
          <w:rFonts w:ascii="Candara" w:hAnsi="Candara"/>
          <w:noProof/>
          <w:lang w:val="en-US"/>
        </w:rPr>
      </w:pPr>
      <w:r w:rsidRPr="005D10C1">
        <w:rPr>
          <w:rFonts w:ascii="Candara" w:hAnsi="Candara"/>
          <w:noProof/>
        </w:rPr>
        <w:t xml:space="preserve">Colciencias. (2013b). Desarrollo Tecnológico e Innovación Industrial. </w:t>
      </w:r>
      <w:r w:rsidRPr="005D10C1">
        <w:rPr>
          <w:rFonts w:ascii="Candara" w:hAnsi="Candara"/>
          <w:noProof/>
          <w:lang w:val="en-US"/>
        </w:rPr>
        <w:t>Retrieved from http://www.colciencias.gov.co/programa_estrategia/desarrollo-tecnol-gico-e-innovaci-n-industrial</w:t>
      </w:r>
    </w:p>
    <w:p w14:paraId="33DE2603" w14:textId="77777777" w:rsidR="00CA1A09" w:rsidRPr="00AC592C" w:rsidRDefault="00CA1A09">
      <w:pPr>
        <w:pStyle w:val="NormalWeb"/>
        <w:ind w:left="480" w:hanging="480"/>
        <w:divId w:val="602030852"/>
        <w:rPr>
          <w:rFonts w:ascii="Candara" w:hAnsi="Candara"/>
          <w:noProof/>
          <w:lang w:val="en-US"/>
        </w:rPr>
      </w:pPr>
      <w:r w:rsidRPr="005D10C1">
        <w:rPr>
          <w:rFonts w:ascii="Candara" w:hAnsi="Candara"/>
          <w:noProof/>
          <w:lang w:val="pt-BR"/>
        </w:rPr>
        <w:lastRenderedPageBreak/>
        <w:t xml:space="preserve">Condom, P. (2003). </w:t>
      </w:r>
      <w:r w:rsidRPr="005D10C1">
        <w:rPr>
          <w:rFonts w:ascii="Candara" w:hAnsi="Candara"/>
          <w:i/>
          <w:iCs/>
          <w:noProof/>
          <w:lang w:val="pt-BR"/>
        </w:rPr>
        <w:t xml:space="preserve">Transferència de tecnologia universitària. </w:t>
      </w:r>
      <w:r w:rsidRPr="005D10C1">
        <w:rPr>
          <w:rFonts w:ascii="Candara" w:hAnsi="Candara"/>
          <w:i/>
          <w:iCs/>
          <w:noProof/>
          <w:lang w:val="fr-FR"/>
        </w:rPr>
        <w:t>Modalitat i estratègies</w:t>
      </w:r>
      <w:r w:rsidRPr="005D10C1">
        <w:rPr>
          <w:rFonts w:ascii="Candara" w:hAnsi="Candara"/>
          <w:noProof/>
          <w:lang w:val="fr-FR"/>
        </w:rPr>
        <w:t xml:space="preserve">. Universitat de Girona. </w:t>
      </w:r>
      <w:r w:rsidRPr="00AC592C">
        <w:rPr>
          <w:rFonts w:ascii="Candara" w:hAnsi="Candara"/>
          <w:noProof/>
          <w:lang w:val="en-US"/>
        </w:rPr>
        <w:t>Retrieved from http://www.tesisenred.net/handle/10803/31885</w:t>
      </w:r>
    </w:p>
    <w:p w14:paraId="6C650978" w14:textId="77777777" w:rsidR="00CA1A09" w:rsidRPr="005D10C1" w:rsidRDefault="00CA1A09">
      <w:pPr>
        <w:pStyle w:val="NormalWeb"/>
        <w:ind w:left="480" w:hanging="480"/>
        <w:divId w:val="602030852"/>
        <w:rPr>
          <w:rFonts w:ascii="Candara" w:hAnsi="Candara"/>
          <w:noProof/>
          <w:lang w:val="pt-BR"/>
        </w:rPr>
      </w:pPr>
      <w:r w:rsidRPr="00AC592C">
        <w:rPr>
          <w:rFonts w:ascii="Candara" w:hAnsi="Candara"/>
          <w:noProof/>
          <w:lang w:val="en-US"/>
        </w:rPr>
        <w:t xml:space="preserve">Condom, P., &amp; Valls, J. (2003). </w:t>
      </w:r>
      <w:r w:rsidRPr="005D10C1">
        <w:rPr>
          <w:rFonts w:ascii="Candara" w:hAnsi="Candara"/>
          <w:noProof/>
        </w:rPr>
        <w:t xml:space="preserve">La creación de empresas desde la universidades españolas: las spin-off. </w:t>
      </w:r>
      <w:r w:rsidRPr="005D10C1">
        <w:rPr>
          <w:rFonts w:ascii="Candara" w:hAnsi="Candara"/>
          <w:i/>
          <w:iCs/>
          <w:noProof/>
          <w:lang w:val="pt-BR"/>
        </w:rPr>
        <w:t>Revista Deusto Iniciativa Emprendedora</w:t>
      </w:r>
      <w:r w:rsidRPr="005D10C1">
        <w:rPr>
          <w:rFonts w:ascii="Candara" w:hAnsi="Candara"/>
          <w:noProof/>
          <w:lang w:val="pt-BR"/>
        </w:rPr>
        <w:t>. Retrieved from http://scholar.google.com.co/scholar?q=La+creación+de+empresas+desde+la+universidad:+las+spin-off”.+Iniciativa+Emprendedora,+condom+valls&amp;btnG=&amp;hl=en&amp;as_sdt=0,5#0</w:t>
      </w:r>
    </w:p>
    <w:p w14:paraId="7B292C43" w14:textId="77777777" w:rsidR="00CA1A09" w:rsidRPr="005D10C1" w:rsidRDefault="00CA1A09">
      <w:pPr>
        <w:pStyle w:val="NormalWeb"/>
        <w:ind w:left="480" w:hanging="480"/>
        <w:divId w:val="602030852"/>
        <w:rPr>
          <w:rFonts w:ascii="Candara" w:hAnsi="Candara"/>
          <w:noProof/>
        </w:rPr>
      </w:pPr>
      <w:r w:rsidRPr="005D10C1">
        <w:rPr>
          <w:rFonts w:ascii="Candara" w:hAnsi="Candara"/>
          <w:noProof/>
        </w:rPr>
        <w:t>Congreso de Colombia. (1990). Ley 29 de 1990.</w:t>
      </w:r>
    </w:p>
    <w:p w14:paraId="7594074A" w14:textId="77777777" w:rsidR="00CA1A09" w:rsidRPr="005D10C1" w:rsidRDefault="00CA1A09">
      <w:pPr>
        <w:pStyle w:val="NormalWeb"/>
        <w:ind w:left="480" w:hanging="480"/>
        <w:divId w:val="602030852"/>
        <w:rPr>
          <w:rFonts w:ascii="Candara" w:hAnsi="Candara"/>
          <w:noProof/>
        </w:rPr>
      </w:pPr>
      <w:r w:rsidRPr="005D10C1">
        <w:rPr>
          <w:rFonts w:ascii="Candara" w:hAnsi="Candara"/>
          <w:noProof/>
        </w:rPr>
        <w:t>Congreso de Colombia. (2009). Ley 1286 de 2009.</w:t>
      </w:r>
    </w:p>
    <w:p w14:paraId="4AE892F3" w14:textId="77777777" w:rsidR="00CA1A09" w:rsidRPr="005D10C1" w:rsidRDefault="00CA1A09">
      <w:pPr>
        <w:pStyle w:val="NormalWeb"/>
        <w:ind w:left="480" w:hanging="480"/>
        <w:divId w:val="602030852"/>
        <w:rPr>
          <w:rFonts w:ascii="Candara" w:hAnsi="Candara"/>
          <w:noProof/>
          <w:lang w:val="en-US"/>
        </w:rPr>
      </w:pPr>
      <w:r w:rsidRPr="005D10C1">
        <w:rPr>
          <w:rFonts w:ascii="Candara" w:hAnsi="Candara"/>
          <w:noProof/>
          <w:lang w:val="en-US"/>
        </w:rPr>
        <w:t>Congress96th. (1980). Trademark Law Amendments Act. Retrieved from http://history.nih.gov/research/downloads/PL96-517.pdf</w:t>
      </w:r>
    </w:p>
    <w:p w14:paraId="575A51DD" w14:textId="77777777" w:rsidR="00CA1A09" w:rsidRPr="005D10C1" w:rsidRDefault="00CA1A09">
      <w:pPr>
        <w:pStyle w:val="NormalWeb"/>
        <w:ind w:left="480" w:hanging="480"/>
        <w:divId w:val="602030852"/>
        <w:rPr>
          <w:rFonts w:ascii="Candara" w:hAnsi="Candara"/>
          <w:noProof/>
          <w:lang w:val="en-US"/>
        </w:rPr>
      </w:pPr>
      <w:r w:rsidRPr="005D10C1">
        <w:rPr>
          <w:rFonts w:ascii="Candara" w:hAnsi="Candara"/>
          <w:noProof/>
          <w:lang w:val="en-US"/>
        </w:rPr>
        <w:t>Conoser. (2013). Conoser. Retrieved from http://www.conoser.co</w:t>
      </w:r>
    </w:p>
    <w:p w14:paraId="3F03601B" w14:textId="77777777" w:rsidR="00CA1A09" w:rsidRPr="005D10C1" w:rsidRDefault="00CA1A09">
      <w:pPr>
        <w:pStyle w:val="NormalWeb"/>
        <w:ind w:left="480" w:hanging="480"/>
        <w:divId w:val="602030852"/>
        <w:rPr>
          <w:rFonts w:ascii="Candara" w:hAnsi="Candara"/>
          <w:noProof/>
          <w:lang w:val="en-US"/>
        </w:rPr>
      </w:pPr>
      <w:r w:rsidRPr="005D10C1">
        <w:rPr>
          <w:rFonts w:ascii="Candara" w:hAnsi="Candara"/>
          <w:noProof/>
        </w:rPr>
        <w:t xml:space="preserve">Consejo Superior de La Universidad de Antioquia. (2011). Acuerdo Superior 1 de 1994. Actualizado en 2011. </w:t>
      </w:r>
      <w:r w:rsidRPr="005D10C1">
        <w:rPr>
          <w:rFonts w:ascii="Candara" w:hAnsi="Candara"/>
          <w:noProof/>
          <w:lang w:val="en-US"/>
        </w:rPr>
        <w:t>Retrieved from http://www.udea.edu.co/portal/page/portal/BibliotecaPortal/ElementosDiseno/Documentos/General/EstatutoGeneral07_12_2011.pdf</w:t>
      </w:r>
    </w:p>
    <w:p w14:paraId="7F8AB6F5" w14:textId="77777777" w:rsidR="00CA1A09" w:rsidRPr="005D10C1" w:rsidRDefault="00CA1A09">
      <w:pPr>
        <w:pStyle w:val="NormalWeb"/>
        <w:ind w:left="480" w:hanging="480"/>
        <w:divId w:val="602030852"/>
        <w:rPr>
          <w:rFonts w:ascii="Candara" w:hAnsi="Candara"/>
          <w:noProof/>
          <w:lang w:val="en-US"/>
        </w:rPr>
      </w:pPr>
      <w:r w:rsidRPr="005D10C1">
        <w:rPr>
          <w:rFonts w:ascii="Candara" w:hAnsi="Candara"/>
          <w:noProof/>
          <w:lang w:val="en-US"/>
        </w:rPr>
        <w:t xml:space="preserve">Debackere, K. (2005). The role of academic technology transfer organizations in improving industry science links. </w:t>
      </w:r>
      <w:r w:rsidRPr="005D10C1">
        <w:rPr>
          <w:rFonts w:ascii="Candara" w:hAnsi="Candara"/>
          <w:i/>
          <w:iCs/>
          <w:noProof/>
          <w:lang w:val="en-US"/>
        </w:rPr>
        <w:t>Research Policy</w:t>
      </w:r>
      <w:r w:rsidRPr="005D10C1">
        <w:rPr>
          <w:rFonts w:ascii="Candara" w:hAnsi="Candara"/>
          <w:noProof/>
          <w:lang w:val="en-US"/>
        </w:rPr>
        <w:t xml:space="preserve">, </w:t>
      </w:r>
      <w:r w:rsidRPr="005D10C1">
        <w:rPr>
          <w:rFonts w:ascii="Candara" w:hAnsi="Candara"/>
          <w:i/>
          <w:iCs/>
          <w:noProof/>
          <w:lang w:val="en-US"/>
        </w:rPr>
        <w:t>34</w:t>
      </w:r>
      <w:r w:rsidRPr="005D10C1">
        <w:rPr>
          <w:rFonts w:ascii="Candara" w:hAnsi="Candara"/>
          <w:noProof/>
          <w:lang w:val="en-US"/>
        </w:rPr>
        <w:t>(3), 321–342. Retrieved from http://www.scopus.com/inward/record.url?eid=2-s2.0-18144428742&amp;partnerID=40&amp;md5=2f7618ffb9a6fdc8038c6ff473567a90</w:t>
      </w:r>
    </w:p>
    <w:p w14:paraId="0799DC54" w14:textId="77777777" w:rsidR="00CA1A09" w:rsidRPr="00AC592C" w:rsidRDefault="00CA1A09">
      <w:pPr>
        <w:pStyle w:val="NormalWeb"/>
        <w:ind w:left="480" w:hanging="480"/>
        <w:divId w:val="602030852"/>
        <w:rPr>
          <w:rFonts w:ascii="Candara" w:hAnsi="Candara"/>
          <w:noProof/>
        </w:rPr>
      </w:pPr>
      <w:r w:rsidRPr="00AC592C">
        <w:rPr>
          <w:rFonts w:ascii="Candara" w:hAnsi="Candara"/>
          <w:noProof/>
        </w:rPr>
        <w:t>Decreto 585 de 1991. (1991).</w:t>
      </w:r>
    </w:p>
    <w:p w14:paraId="34A637CA" w14:textId="77777777" w:rsidR="00CA1A09" w:rsidRPr="005D10C1" w:rsidRDefault="00CA1A09">
      <w:pPr>
        <w:pStyle w:val="NormalWeb"/>
        <w:ind w:left="480" w:hanging="480"/>
        <w:divId w:val="602030852"/>
        <w:rPr>
          <w:rFonts w:ascii="Candara" w:hAnsi="Candara"/>
          <w:noProof/>
          <w:lang w:val="en-US"/>
        </w:rPr>
      </w:pPr>
      <w:r w:rsidRPr="00AC592C">
        <w:rPr>
          <w:rFonts w:ascii="Candara" w:hAnsi="Candara"/>
          <w:noProof/>
        </w:rPr>
        <w:t xml:space="preserve">Departamento Administrativo de Ciencia, Tecnología e Innovación | Colciencias. </w:t>
      </w:r>
      <w:r w:rsidRPr="005D10C1">
        <w:rPr>
          <w:rFonts w:ascii="Candara" w:hAnsi="Candara"/>
          <w:noProof/>
          <w:lang w:val="en-US"/>
        </w:rPr>
        <w:t>(2012). Retrieved July 04, 2013, from http://www.colciencias.gov.co/</w:t>
      </w:r>
    </w:p>
    <w:p w14:paraId="67B71FD7" w14:textId="77777777" w:rsidR="00CA1A09" w:rsidRPr="005D10C1" w:rsidRDefault="00CA1A09">
      <w:pPr>
        <w:pStyle w:val="NormalWeb"/>
        <w:ind w:left="480" w:hanging="480"/>
        <w:divId w:val="602030852"/>
        <w:rPr>
          <w:rFonts w:ascii="Candara" w:hAnsi="Candara"/>
          <w:noProof/>
          <w:lang w:val="en-US"/>
        </w:rPr>
      </w:pPr>
      <w:r w:rsidRPr="005D10C1">
        <w:rPr>
          <w:rFonts w:ascii="Candara" w:hAnsi="Candara"/>
          <w:noProof/>
          <w:lang w:val="en-US"/>
        </w:rPr>
        <w:t>Department of Education. (2004). Digest of Education Statistics. National Center for Education Statistics. Retrieved from http://nces.ed.gov/programs/digest/d04/tables/dt04_244.asp</w:t>
      </w:r>
    </w:p>
    <w:p w14:paraId="774D64AD" w14:textId="77777777" w:rsidR="00CA1A09" w:rsidRPr="005D10C1" w:rsidRDefault="00CA1A09">
      <w:pPr>
        <w:pStyle w:val="NormalWeb"/>
        <w:ind w:left="480" w:hanging="480"/>
        <w:divId w:val="602030852"/>
        <w:rPr>
          <w:rFonts w:ascii="Candara" w:hAnsi="Candara"/>
          <w:noProof/>
          <w:lang w:val="en-US"/>
        </w:rPr>
      </w:pPr>
      <w:r w:rsidRPr="005D10C1">
        <w:rPr>
          <w:rFonts w:ascii="Candara" w:hAnsi="Candara"/>
          <w:noProof/>
          <w:lang w:val="pt-BR"/>
        </w:rPr>
        <w:t xml:space="preserve">Di Gregorio, D., &amp; Shane, S. (2003). </w:t>
      </w:r>
      <w:r w:rsidRPr="005D10C1">
        <w:rPr>
          <w:rFonts w:ascii="Candara" w:hAnsi="Candara"/>
          <w:noProof/>
          <w:lang w:val="en-US"/>
        </w:rPr>
        <w:t xml:space="preserve">Why do some universities generate more start-ups than others? </w:t>
      </w:r>
      <w:r w:rsidRPr="005D10C1">
        <w:rPr>
          <w:rFonts w:ascii="Candara" w:hAnsi="Candara"/>
          <w:i/>
          <w:iCs/>
          <w:noProof/>
          <w:lang w:val="en-US"/>
        </w:rPr>
        <w:t>Research policy</w:t>
      </w:r>
      <w:r w:rsidRPr="005D10C1">
        <w:rPr>
          <w:rFonts w:ascii="Candara" w:hAnsi="Candara"/>
          <w:noProof/>
          <w:lang w:val="en-US"/>
        </w:rPr>
        <w:t>. Retrieved from http://www.sciencedirect.com/science/article/pii/S0048733302000975</w:t>
      </w:r>
    </w:p>
    <w:p w14:paraId="6F1C3E6D" w14:textId="77777777" w:rsidR="00CA1A09" w:rsidRPr="00AC592C" w:rsidRDefault="00CA1A09">
      <w:pPr>
        <w:pStyle w:val="NormalWeb"/>
        <w:ind w:left="480" w:hanging="480"/>
        <w:divId w:val="602030852"/>
        <w:rPr>
          <w:rFonts w:ascii="Candara" w:hAnsi="Candara"/>
          <w:noProof/>
          <w:lang w:val="en-US"/>
        </w:rPr>
      </w:pPr>
      <w:r w:rsidRPr="005D10C1">
        <w:rPr>
          <w:rFonts w:ascii="Candara" w:hAnsi="Candara"/>
          <w:noProof/>
        </w:rPr>
        <w:lastRenderedPageBreak/>
        <w:t xml:space="preserve">Diaz, E., Gómez, C., Cuervo, J., &amp; De la Sota, J. (2007). Guía para emprendedores de base tecnológica. </w:t>
      </w:r>
      <w:r w:rsidRPr="00AC592C">
        <w:rPr>
          <w:rFonts w:ascii="Candara" w:hAnsi="Candara"/>
          <w:noProof/>
          <w:lang w:val="en-US"/>
        </w:rPr>
        <w:t>Madrid. Retrieved from http://www.madrimasd.org/informacionidi/biblioteca/publicacion/doc/31_nebts.zip</w:t>
      </w:r>
    </w:p>
    <w:p w14:paraId="2993C5EC" w14:textId="77777777" w:rsidR="00CA1A09" w:rsidRPr="005D10C1" w:rsidRDefault="00CA1A09">
      <w:pPr>
        <w:pStyle w:val="NormalWeb"/>
        <w:ind w:left="480" w:hanging="480"/>
        <w:divId w:val="602030852"/>
        <w:rPr>
          <w:rFonts w:ascii="Candara" w:hAnsi="Candara"/>
          <w:noProof/>
          <w:lang w:val="en-US"/>
        </w:rPr>
      </w:pPr>
      <w:r w:rsidRPr="00AC592C">
        <w:rPr>
          <w:rFonts w:ascii="Candara" w:hAnsi="Candara"/>
          <w:noProof/>
          <w:lang w:val="en-US"/>
        </w:rPr>
        <w:t xml:space="preserve">Doutriaux, J., &amp; Peterman, B. (1982). </w:t>
      </w:r>
      <w:r w:rsidRPr="005D10C1">
        <w:rPr>
          <w:rFonts w:ascii="Candara" w:hAnsi="Candara"/>
          <w:noProof/>
          <w:lang w:val="en-US"/>
        </w:rPr>
        <w:t xml:space="preserve">Technology transfer and academic entrepreneurship. </w:t>
      </w:r>
      <w:r w:rsidRPr="005D10C1">
        <w:rPr>
          <w:rFonts w:ascii="Candara" w:hAnsi="Candara"/>
          <w:i/>
          <w:iCs/>
          <w:noProof/>
          <w:lang w:val="en-US"/>
        </w:rPr>
        <w:t>Frontiers of Entrepreneurship Research</w:t>
      </w:r>
      <w:r w:rsidRPr="005D10C1">
        <w:rPr>
          <w:rFonts w:ascii="Candara" w:hAnsi="Candara"/>
          <w:noProof/>
          <w:lang w:val="en-US"/>
        </w:rPr>
        <w:t>. Retrieved from http://scholar.google.com.co/scholar?q=doutriaux+Technology+transfer+and+academic++entrepreneurship&amp;btnG=&amp;hl=en&amp;as_sdt=0,5#0</w:t>
      </w:r>
    </w:p>
    <w:p w14:paraId="251CBEFC" w14:textId="77777777" w:rsidR="00CA1A09" w:rsidRPr="005D10C1" w:rsidRDefault="00CA1A09">
      <w:pPr>
        <w:pStyle w:val="NormalWeb"/>
        <w:ind w:left="480" w:hanging="480"/>
        <w:divId w:val="602030852"/>
        <w:rPr>
          <w:rFonts w:ascii="Candara" w:hAnsi="Candara"/>
          <w:noProof/>
          <w:lang w:val="en-US"/>
        </w:rPr>
      </w:pPr>
      <w:r w:rsidRPr="00AC592C">
        <w:rPr>
          <w:rFonts w:ascii="Candara" w:hAnsi="Candara"/>
          <w:noProof/>
          <w:lang w:val="en-US"/>
        </w:rPr>
        <w:t xml:space="preserve">Emiliozzi, S., Lemarchand, G., &amp; Gordon, A. (2011). </w:t>
      </w:r>
      <w:r w:rsidRPr="005D10C1">
        <w:rPr>
          <w:rFonts w:ascii="Candara" w:hAnsi="Candara"/>
          <w:noProof/>
        </w:rPr>
        <w:t xml:space="preserve">Principales Indicadores de Insumo en Ciencia, Tecnología e Innovación Principales Indicadores de Producto en Ciencia, Tecnología e Innovación. </w:t>
      </w:r>
      <w:r w:rsidRPr="005D10C1">
        <w:rPr>
          <w:rFonts w:ascii="Candara" w:hAnsi="Candara"/>
          <w:noProof/>
          <w:lang w:val="en-US"/>
        </w:rPr>
        <w:t>Retrieved from http://docs.politicascti.net/reportes/CO_SI.pdf</w:t>
      </w:r>
    </w:p>
    <w:p w14:paraId="5AD791A0" w14:textId="77777777" w:rsidR="00CA1A09" w:rsidRPr="005D10C1" w:rsidRDefault="00CA1A09">
      <w:pPr>
        <w:pStyle w:val="NormalWeb"/>
        <w:ind w:left="480" w:hanging="480"/>
        <w:divId w:val="602030852"/>
        <w:rPr>
          <w:rFonts w:ascii="Candara" w:hAnsi="Candara"/>
          <w:noProof/>
          <w:lang w:val="en-US"/>
        </w:rPr>
      </w:pPr>
      <w:r w:rsidRPr="005D10C1">
        <w:rPr>
          <w:rFonts w:ascii="Candara" w:hAnsi="Candara"/>
          <w:noProof/>
          <w:lang w:val="en-US"/>
        </w:rPr>
        <w:t xml:space="preserve">Etzkowitz. (2003). Research groups as quasi-firms’: the invention of the entrepreneurial university. </w:t>
      </w:r>
      <w:r w:rsidRPr="005D10C1">
        <w:rPr>
          <w:rFonts w:ascii="Candara" w:hAnsi="Candara"/>
          <w:i/>
          <w:iCs/>
          <w:noProof/>
          <w:lang w:val="en-US"/>
        </w:rPr>
        <w:t>Research policy</w:t>
      </w:r>
      <w:r w:rsidRPr="005D10C1">
        <w:rPr>
          <w:rFonts w:ascii="Candara" w:hAnsi="Candara"/>
          <w:noProof/>
          <w:lang w:val="en-US"/>
        </w:rPr>
        <w:t>. Retrieved from http://www.sciencedirect.com/science/article/pii/S0048733302000094</w:t>
      </w:r>
    </w:p>
    <w:p w14:paraId="1AFA9D4A" w14:textId="77777777" w:rsidR="00CA1A09" w:rsidRPr="005D10C1" w:rsidRDefault="00CA1A09">
      <w:pPr>
        <w:pStyle w:val="NormalWeb"/>
        <w:ind w:left="480" w:hanging="480"/>
        <w:divId w:val="602030852"/>
        <w:rPr>
          <w:rFonts w:ascii="Candara" w:hAnsi="Candara"/>
          <w:noProof/>
          <w:lang w:val="en-US"/>
        </w:rPr>
      </w:pPr>
      <w:r w:rsidRPr="005D10C1">
        <w:rPr>
          <w:rFonts w:ascii="Candara" w:hAnsi="Candara"/>
          <w:noProof/>
          <w:lang w:val="en-US"/>
        </w:rPr>
        <w:t xml:space="preserve">Etzkowitz. (2004). The evolution of the entrepreneurial university. </w:t>
      </w:r>
      <w:r w:rsidRPr="005D10C1">
        <w:rPr>
          <w:rFonts w:ascii="Candara" w:hAnsi="Candara"/>
          <w:i/>
          <w:iCs/>
          <w:noProof/>
          <w:lang w:val="en-US"/>
        </w:rPr>
        <w:t>International Journal of Technology and Globalisation</w:t>
      </w:r>
      <w:r w:rsidRPr="005D10C1">
        <w:rPr>
          <w:rFonts w:ascii="Candara" w:hAnsi="Candara"/>
          <w:noProof/>
          <w:lang w:val="en-US"/>
        </w:rPr>
        <w:t>. Retrieved from http://inderscience.metapress.com/index/VFP58MEACN34AXNM.pdf</w:t>
      </w:r>
    </w:p>
    <w:p w14:paraId="1B70E485" w14:textId="77777777" w:rsidR="00CA1A09" w:rsidRPr="005D10C1" w:rsidRDefault="00CA1A09">
      <w:pPr>
        <w:pStyle w:val="NormalWeb"/>
        <w:ind w:left="480" w:hanging="480"/>
        <w:divId w:val="602030852"/>
        <w:rPr>
          <w:rFonts w:ascii="Candara" w:hAnsi="Candara"/>
          <w:noProof/>
          <w:lang w:val="en-US"/>
        </w:rPr>
      </w:pPr>
      <w:r w:rsidRPr="005D10C1">
        <w:rPr>
          <w:rFonts w:ascii="Candara" w:hAnsi="Candara"/>
          <w:noProof/>
          <w:lang w:val="en-US"/>
        </w:rPr>
        <w:t xml:space="preserve">Feldman, M., Feller, I., Bercovitz, J., &amp; Burton, R. (2001). Understanding evolving university-industry relationships. </w:t>
      </w:r>
      <w:r w:rsidRPr="005D10C1">
        <w:rPr>
          <w:rFonts w:ascii="Candara" w:hAnsi="Candara"/>
          <w:i/>
          <w:iCs/>
          <w:noProof/>
          <w:lang w:val="en-US"/>
        </w:rPr>
        <w:t>Innovation Policy in the Knowledge-based Economy</w:t>
      </w:r>
      <w:r w:rsidRPr="005D10C1">
        <w:rPr>
          <w:rFonts w:ascii="Candara" w:hAnsi="Candara"/>
          <w:noProof/>
          <w:lang w:val="en-US"/>
        </w:rPr>
        <w:t>. Retrieved from http://link.springer.com/chapter/10.1007/978-1-4615-1689-7_8</w:t>
      </w:r>
    </w:p>
    <w:p w14:paraId="54FB847A" w14:textId="77777777" w:rsidR="00CA1A09" w:rsidRPr="005D10C1" w:rsidRDefault="00CA1A09">
      <w:pPr>
        <w:pStyle w:val="NormalWeb"/>
        <w:ind w:left="480" w:hanging="480"/>
        <w:divId w:val="602030852"/>
        <w:rPr>
          <w:rFonts w:ascii="Candara" w:hAnsi="Candara"/>
          <w:noProof/>
          <w:lang w:val="pt-BR"/>
        </w:rPr>
      </w:pPr>
      <w:r w:rsidRPr="005D10C1">
        <w:rPr>
          <w:rFonts w:ascii="Candara" w:hAnsi="Candara"/>
          <w:noProof/>
        </w:rPr>
        <w:t xml:space="preserve">Felipe, A., Gómez, O., Alberto, C., &amp; Álvarez, A. (2012). El sistema de innovación colombiano: fundamentos, dinámicas y avatares. </w:t>
      </w:r>
      <w:r w:rsidRPr="005D10C1">
        <w:rPr>
          <w:rFonts w:ascii="Candara" w:hAnsi="Candara"/>
          <w:i/>
          <w:iCs/>
          <w:noProof/>
          <w:lang w:val="pt-BR"/>
        </w:rPr>
        <w:t>Revista trilogía</w:t>
      </w:r>
      <w:r w:rsidRPr="005D10C1">
        <w:rPr>
          <w:rFonts w:ascii="Candara" w:hAnsi="Candara"/>
          <w:noProof/>
          <w:lang w:val="pt-BR"/>
        </w:rPr>
        <w:t>, (6), 105–120.</w:t>
      </w:r>
    </w:p>
    <w:p w14:paraId="50162512" w14:textId="77777777" w:rsidR="00CA1A09" w:rsidRPr="005D10C1" w:rsidRDefault="00CA1A09">
      <w:pPr>
        <w:pStyle w:val="NormalWeb"/>
        <w:ind w:left="480" w:hanging="480"/>
        <w:divId w:val="602030852"/>
        <w:rPr>
          <w:rFonts w:ascii="Candara" w:hAnsi="Candara"/>
          <w:noProof/>
          <w:lang w:val="pt-BR"/>
        </w:rPr>
      </w:pPr>
      <w:r w:rsidRPr="005D10C1">
        <w:rPr>
          <w:rFonts w:ascii="Candara" w:hAnsi="Candara"/>
          <w:noProof/>
          <w:lang w:val="pt-BR"/>
        </w:rPr>
        <w:t xml:space="preserve">Filho, F. de A. V., &amp; Nogueira, J. (2006). Sistemas de inovação e promoção tecnológica regional e local no Brasil. </w:t>
      </w:r>
      <w:r w:rsidRPr="005D10C1">
        <w:rPr>
          <w:rFonts w:ascii="Candara" w:hAnsi="Candara"/>
          <w:i/>
          <w:iCs/>
          <w:noProof/>
          <w:lang w:val="pt-BR"/>
        </w:rPr>
        <w:t>…  de Desenvolvimento Local. …</w:t>
      </w:r>
      <w:r w:rsidRPr="005D10C1">
        <w:rPr>
          <w:rFonts w:ascii="Candara" w:hAnsi="Candara"/>
          <w:noProof/>
          <w:lang w:val="pt-BR"/>
        </w:rPr>
        <w:t>. Retrieved from http://www.scielo.br/pdf/inter/v8n13/a12v8n13.pdf</w:t>
      </w:r>
    </w:p>
    <w:p w14:paraId="7C98FAD4" w14:textId="77777777" w:rsidR="00CA1A09" w:rsidRPr="005D10C1" w:rsidRDefault="00CA1A09">
      <w:pPr>
        <w:pStyle w:val="NormalWeb"/>
        <w:ind w:left="480" w:hanging="480"/>
        <w:divId w:val="602030852"/>
        <w:rPr>
          <w:rFonts w:ascii="Candara" w:hAnsi="Candara"/>
          <w:noProof/>
          <w:lang w:val="pt-BR"/>
        </w:rPr>
      </w:pPr>
      <w:r w:rsidRPr="005D10C1">
        <w:rPr>
          <w:rFonts w:ascii="Candara" w:hAnsi="Candara"/>
          <w:noProof/>
          <w:lang w:val="pt-BR"/>
        </w:rPr>
        <w:t xml:space="preserve">Filho, Junior, R., &amp; Silva, C. de D. P. da. (2012, November 10). O SISTEMA NACIONAL DE CIÊNCIA, TECNOLOGIA E INOVAÇÃO E A PROMOÇÃO TECNOLÓGICA REGIONAL E LOCAL NO BRASIL. </w:t>
      </w:r>
      <w:r w:rsidRPr="005D10C1">
        <w:rPr>
          <w:rFonts w:ascii="Candara" w:hAnsi="Candara"/>
          <w:i/>
          <w:iCs/>
          <w:noProof/>
          <w:lang w:val="pt-BR"/>
        </w:rPr>
        <w:t>Cadernos de Pesquisa em Ciência Política</w:t>
      </w:r>
      <w:r w:rsidRPr="005D10C1">
        <w:rPr>
          <w:rFonts w:ascii="Candara" w:hAnsi="Candara"/>
          <w:noProof/>
          <w:lang w:val="pt-BR"/>
        </w:rPr>
        <w:t>. Retrieved from http://www.ojs.ufpi.br/index.php/cadernosdepesquisa/article/view/1141</w:t>
      </w:r>
    </w:p>
    <w:p w14:paraId="13DB884F" w14:textId="77777777" w:rsidR="00CA1A09" w:rsidRPr="005D10C1" w:rsidRDefault="00CA1A09">
      <w:pPr>
        <w:pStyle w:val="NormalWeb"/>
        <w:ind w:left="480" w:hanging="480"/>
        <w:divId w:val="602030852"/>
        <w:rPr>
          <w:rFonts w:ascii="Candara" w:hAnsi="Candara"/>
          <w:noProof/>
          <w:lang w:val="en-US"/>
        </w:rPr>
      </w:pPr>
      <w:r w:rsidRPr="005D10C1">
        <w:rPr>
          <w:rFonts w:ascii="Candara" w:hAnsi="Candara"/>
          <w:noProof/>
        </w:rPr>
        <w:t xml:space="preserve">Fini, R., Grimaldi, R., &amp; Sobrero, M. (2009). </w:t>
      </w:r>
      <w:r w:rsidRPr="005D10C1">
        <w:rPr>
          <w:rFonts w:ascii="Candara" w:hAnsi="Candara"/>
          <w:noProof/>
          <w:lang w:val="en-US"/>
        </w:rPr>
        <w:t xml:space="preserve">Factors fostering academics to start up new ventures: An assessment of Italian founders’ incentives. </w:t>
      </w:r>
      <w:r w:rsidRPr="005D10C1">
        <w:rPr>
          <w:rFonts w:ascii="Candara" w:hAnsi="Candara"/>
          <w:i/>
          <w:iCs/>
          <w:noProof/>
          <w:lang w:val="en-US"/>
        </w:rPr>
        <w:t xml:space="preserve">Journal of Technology </w:t>
      </w:r>
      <w:r w:rsidRPr="005D10C1">
        <w:rPr>
          <w:rFonts w:ascii="Candara" w:hAnsi="Candara"/>
          <w:i/>
          <w:iCs/>
          <w:noProof/>
          <w:lang w:val="en-US"/>
        </w:rPr>
        <w:lastRenderedPageBreak/>
        <w:t>Transfer</w:t>
      </w:r>
      <w:r w:rsidRPr="005D10C1">
        <w:rPr>
          <w:rFonts w:ascii="Candara" w:hAnsi="Candara"/>
          <w:noProof/>
          <w:lang w:val="en-US"/>
        </w:rPr>
        <w:t xml:space="preserve">, </w:t>
      </w:r>
      <w:r w:rsidRPr="005D10C1">
        <w:rPr>
          <w:rFonts w:ascii="Candara" w:hAnsi="Candara"/>
          <w:i/>
          <w:iCs/>
          <w:noProof/>
          <w:lang w:val="en-US"/>
        </w:rPr>
        <w:t>34</w:t>
      </w:r>
      <w:r w:rsidRPr="005D10C1">
        <w:rPr>
          <w:rFonts w:ascii="Candara" w:hAnsi="Candara"/>
          <w:noProof/>
          <w:lang w:val="en-US"/>
        </w:rPr>
        <w:t>(4), 380–402. Retrieved from http://www.scopus.com/inward/record.url?eid=2-s2.0-67349167004&amp;partnerID=40&amp;md5=abfaf83a8c4f11621e1fc39f7ec38cab</w:t>
      </w:r>
    </w:p>
    <w:p w14:paraId="68090AC0" w14:textId="77777777" w:rsidR="00CA1A09" w:rsidRPr="005D10C1" w:rsidRDefault="00CA1A09">
      <w:pPr>
        <w:pStyle w:val="NormalWeb"/>
        <w:ind w:left="480" w:hanging="480"/>
        <w:divId w:val="602030852"/>
        <w:rPr>
          <w:rFonts w:ascii="Candara" w:hAnsi="Candara"/>
          <w:noProof/>
          <w:lang w:val="en-US"/>
        </w:rPr>
      </w:pPr>
      <w:r w:rsidRPr="005D10C1">
        <w:rPr>
          <w:rFonts w:ascii="Candara" w:hAnsi="Candara"/>
          <w:noProof/>
          <w:lang w:val="en-US"/>
        </w:rPr>
        <w:t xml:space="preserve">Freitas, J. S., Gonçalves, C. A., Cheng, L. C., &amp; Muniz, R. M. (2012). the Academic Spin-Off Phenomenon: Structuring a New Field of Research in Brazil. </w:t>
      </w:r>
      <w:r w:rsidRPr="005D10C1">
        <w:rPr>
          <w:rFonts w:ascii="Candara" w:hAnsi="Candara"/>
          <w:i/>
          <w:iCs/>
          <w:noProof/>
          <w:lang w:val="en-US"/>
        </w:rPr>
        <w:t>Review of Administration and Innovation - RAI</w:t>
      </w:r>
      <w:r w:rsidRPr="005D10C1">
        <w:rPr>
          <w:rFonts w:ascii="Candara" w:hAnsi="Candara"/>
          <w:noProof/>
          <w:lang w:val="en-US"/>
        </w:rPr>
        <w:t xml:space="preserve">, </w:t>
      </w:r>
      <w:r w:rsidRPr="005D10C1">
        <w:rPr>
          <w:rFonts w:ascii="Candara" w:hAnsi="Candara"/>
          <w:i/>
          <w:iCs/>
          <w:noProof/>
          <w:lang w:val="en-US"/>
        </w:rPr>
        <w:t>8</w:t>
      </w:r>
      <w:r w:rsidRPr="005D10C1">
        <w:rPr>
          <w:rFonts w:ascii="Candara" w:hAnsi="Candara"/>
          <w:noProof/>
          <w:lang w:val="en-US"/>
        </w:rPr>
        <w:t>(4). doi:10.5773/rai.v8i4.698</w:t>
      </w:r>
    </w:p>
    <w:p w14:paraId="3DEE4F9A" w14:textId="77777777" w:rsidR="00CA1A09" w:rsidRPr="005D10C1" w:rsidRDefault="00CA1A09">
      <w:pPr>
        <w:pStyle w:val="NormalWeb"/>
        <w:ind w:left="480" w:hanging="480"/>
        <w:divId w:val="602030852"/>
        <w:rPr>
          <w:rFonts w:ascii="Candara" w:hAnsi="Candara"/>
          <w:noProof/>
          <w:lang w:val="en-US"/>
        </w:rPr>
      </w:pPr>
      <w:r w:rsidRPr="005D10C1">
        <w:rPr>
          <w:rFonts w:ascii="Candara" w:hAnsi="Candara"/>
          <w:noProof/>
          <w:lang w:val="en-US"/>
        </w:rPr>
        <w:t xml:space="preserve">Freitas, J. S., Gonçalves, C. A., Cheng, L. C., &amp; Muniz, R. M. (2013). Structuration aspects in academic spin-off emergence: A roadmap-based analysis. </w:t>
      </w:r>
      <w:r w:rsidRPr="005D10C1">
        <w:rPr>
          <w:rFonts w:ascii="Candara" w:hAnsi="Candara"/>
          <w:i/>
          <w:iCs/>
          <w:noProof/>
          <w:lang w:val="en-US"/>
        </w:rPr>
        <w:t>Technological Forecasting and Social Change</w:t>
      </w:r>
      <w:r w:rsidRPr="005D10C1">
        <w:rPr>
          <w:rFonts w:ascii="Candara" w:hAnsi="Candara"/>
          <w:noProof/>
          <w:lang w:val="en-US"/>
        </w:rPr>
        <w:t xml:space="preserve">, </w:t>
      </w:r>
      <w:r w:rsidRPr="005D10C1">
        <w:rPr>
          <w:rFonts w:ascii="Candara" w:hAnsi="Candara"/>
          <w:i/>
          <w:iCs/>
          <w:noProof/>
          <w:lang w:val="en-US"/>
        </w:rPr>
        <w:t>80</w:t>
      </w:r>
      <w:r w:rsidRPr="005D10C1">
        <w:rPr>
          <w:rFonts w:ascii="Candara" w:hAnsi="Candara"/>
          <w:noProof/>
          <w:lang w:val="en-US"/>
        </w:rPr>
        <w:t>(6), 1162–1178. doi:10.1016/j.techfore.2012.04.021</w:t>
      </w:r>
    </w:p>
    <w:p w14:paraId="7A709757" w14:textId="77777777" w:rsidR="00CA1A09" w:rsidRPr="005D10C1" w:rsidRDefault="00CA1A09">
      <w:pPr>
        <w:pStyle w:val="NormalWeb"/>
        <w:ind w:left="480" w:hanging="480"/>
        <w:divId w:val="602030852"/>
        <w:rPr>
          <w:rFonts w:ascii="Candara" w:hAnsi="Candara"/>
          <w:noProof/>
          <w:lang w:val="en-US"/>
        </w:rPr>
      </w:pPr>
      <w:r w:rsidRPr="005D10C1">
        <w:rPr>
          <w:rFonts w:ascii="Candara" w:hAnsi="Candara"/>
          <w:noProof/>
          <w:lang w:val="en-US"/>
        </w:rPr>
        <w:t xml:space="preserve">Gilsing, V. A., van Burg, E., &amp; Romme, G. L. (2010). Policy principles for the creation and success of corporate and academic spin-offs. </w:t>
      </w:r>
      <w:r w:rsidRPr="005D10C1">
        <w:rPr>
          <w:rFonts w:ascii="Candara" w:hAnsi="Candara"/>
          <w:i/>
          <w:iCs/>
          <w:noProof/>
          <w:lang w:val="en-US"/>
        </w:rPr>
        <w:t>Technovation</w:t>
      </w:r>
      <w:r w:rsidRPr="005D10C1">
        <w:rPr>
          <w:rFonts w:ascii="Candara" w:hAnsi="Candara"/>
          <w:noProof/>
          <w:lang w:val="en-US"/>
        </w:rPr>
        <w:t xml:space="preserve">, </w:t>
      </w:r>
      <w:r w:rsidRPr="005D10C1">
        <w:rPr>
          <w:rFonts w:ascii="Candara" w:hAnsi="Candara"/>
          <w:i/>
          <w:iCs/>
          <w:noProof/>
          <w:lang w:val="en-US"/>
        </w:rPr>
        <w:t>30</w:t>
      </w:r>
      <w:r w:rsidRPr="005D10C1">
        <w:rPr>
          <w:rFonts w:ascii="Candara" w:hAnsi="Candara"/>
          <w:noProof/>
          <w:lang w:val="en-US"/>
        </w:rPr>
        <w:t>(1), 12–23. doi:10.1016/j.technovation.2009.07.004</w:t>
      </w:r>
    </w:p>
    <w:p w14:paraId="4C6AE0FC" w14:textId="77777777" w:rsidR="00CA1A09" w:rsidRPr="00AC592C" w:rsidRDefault="00CA1A09">
      <w:pPr>
        <w:pStyle w:val="NormalWeb"/>
        <w:ind w:left="480" w:hanging="480"/>
        <w:divId w:val="602030852"/>
        <w:rPr>
          <w:rFonts w:ascii="Candara" w:hAnsi="Candara"/>
          <w:noProof/>
        </w:rPr>
      </w:pPr>
      <w:r w:rsidRPr="005D10C1">
        <w:rPr>
          <w:rFonts w:ascii="Candara" w:hAnsi="Candara"/>
          <w:noProof/>
          <w:lang w:val="en-US"/>
        </w:rPr>
        <w:t xml:space="preserve">Gittelman, M. (2001). The institutional origins of national innovation performance: Careers, organization and patents in biotechnology in the United States and France. </w:t>
      </w:r>
      <w:r w:rsidRPr="00AC592C">
        <w:rPr>
          <w:rFonts w:ascii="Candara" w:hAnsi="Candara"/>
          <w:noProof/>
        </w:rPr>
        <w:t>New York.</w:t>
      </w:r>
    </w:p>
    <w:p w14:paraId="3B461178" w14:textId="77777777" w:rsidR="00CA1A09" w:rsidRPr="005D10C1" w:rsidRDefault="00CA1A09">
      <w:pPr>
        <w:pStyle w:val="NormalWeb"/>
        <w:ind w:left="480" w:hanging="480"/>
        <w:divId w:val="602030852"/>
        <w:rPr>
          <w:rFonts w:ascii="Candara" w:hAnsi="Candara"/>
          <w:noProof/>
          <w:lang w:val="en-US"/>
        </w:rPr>
      </w:pPr>
      <w:r w:rsidRPr="00AC592C">
        <w:rPr>
          <w:rFonts w:ascii="Candara" w:hAnsi="Candara"/>
          <w:noProof/>
        </w:rPr>
        <w:t xml:space="preserve">Gómez, J. M., Galiana, D. R., Mira, I., Verdú, A. J., &amp; Sancho, J. (2007). </w:t>
      </w:r>
      <w:r w:rsidRPr="005D10C1">
        <w:rPr>
          <w:rFonts w:ascii="Candara" w:hAnsi="Candara"/>
          <w:noProof/>
          <w:lang w:val="en-US"/>
        </w:rPr>
        <w:t xml:space="preserve">An empirical approach to the organisational determinants of spin-off creation in European universities. </w:t>
      </w:r>
      <w:r w:rsidRPr="005D10C1">
        <w:rPr>
          <w:rFonts w:ascii="Candara" w:hAnsi="Candara"/>
          <w:i/>
          <w:iCs/>
          <w:noProof/>
          <w:lang w:val="en-US"/>
        </w:rPr>
        <w:t>International Entrepreneurship and Management Journal</w:t>
      </w:r>
      <w:r w:rsidRPr="005D10C1">
        <w:rPr>
          <w:rFonts w:ascii="Candara" w:hAnsi="Candara"/>
          <w:noProof/>
          <w:lang w:val="en-US"/>
        </w:rPr>
        <w:t xml:space="preserve">, </w:t>
      </w:r>
      <w:r w:rsidRPr="005D10C1">
        <w:rPr>
          <w:rFonts w:ascii="Candara" w:hAnsi="Candara"/>
          <w:i/>
          <w:iCs/>
          <w:noProof/>
          <w:lang w:val="en-US"/>
        </w:rPr>
        <w:t>4</w:t>
      </w:r>
      <w:r w:rsidRPr="005D10C1">
        <w:rPr>
          <w:rFonts w:ascii="Candara" w:hAnsi="Candara"/>
          <w:noProof/>
          <w:lang w:val="en-US"/>
        </w:rPr>
        <w:t>(2), 187–198. doi:10.1007/s11365-007-0061-0</w:t>
      </w:r>
    </w:p>
    <w:p w14:paraId="0A18EDFB" w14:textId="77777777" w:rsidR="00CA1A09" w:rsidRPr="005D10C1" w:rsidRDefault="00CA1A09">
      <w:pPr>
        <w:pStyle w:val="NormalWeb"/>
        <w:ind w:left="480" w:hanging="480"/>
        <w:divId w:val="602030852"/>
        <w:rPr>
          <w:rFonts w:ascii="Candara" w:hAnsi="Candara"/>
          <w:noProof/>
          <w:lang w:val="en-US"/>
        </w:rPr>
      </w:pPr>
      <w:r w:rsidRPr="005D10C1">
        <w:rPr>
          <w:rFonts w:ascii="Candara" w:hAnsi="Candara"/>
          <w:noProof/>
          <w:lang w:val="en-US"/>
        </w:rPr>
        <w:t xml:space="preserve">Gompers, P., &amp; Lerner, J. (2004). </w:t>
      </w:r>
      <w:r w:rsidRPr="005D10C1">
        <w:rPr>
          <w:rFonts w:ascii="Candara" w:hAnsi="Candara"/>
          <w:i/>
          <w:iCs/>
          <w:noProof/>
          <w:lang w:val="en-US"/>
        </w:rPr>
        <w:t>The venture capital cycle</w:t>
      </w:r>
      <w:r w:rsidRPr="005D10C1">
        <w:rPr>
          <w:rFonts w:ascii="Candara" w:hAnsi="Candara"/>
          <w:noProof/>
          <w:lang w:val="en-US"/>
        </w:rPr>
        <w:t>. Retrieved from http://books.google.com.co/books?hl=en&amp;lr=&amp;id=yEAcswbX1fEC&amp;oi=fnd&amp;pg=PR7&amp;dq=The+Venture+Capital+Cycle+gompers+lerner&amp;ots=udzMLy7xp7&amp;sig=WrMCYb7qtcSVU9Ja9Gvo6YKBOw0</w:t>
      </w:r>
    </w:p>
    <w:p w14:paraId="796E714D" w14:textId="77777777" w:rsidR="00CA1A09" w:rsidRPr="005D10C1" w:rsidRDefault="00CA1A09">
      <w:pPr>
        <w:pStyle w:val="NormalWeb"/>
        <w:ind w:left="480" w:hanging="480"/>
        <w:divId w:val="602030852"/>
        <w:rPr>
          <w:rFonts w:ascii="Candara" w:hAnsi="Candara"/>
          <w:noProof/>
          <w:lang w:val="en-US"/>
        </w:rPr>
      </w:pPr>
      <w:r w:rsidRPr="005D10C1">
        <w:rPr>
          <w:rFonts w:ascii="Candara" w:hAnsi="Candara"/>
          <w:noProof/>
          <w:lang w:val="en-US"/>
        </w:rPr>
        <w:t xml:space="preserve">Grandi, &amp; Grimaldi, R. (2005). Academics’ organizational characteristics and the generation of successful business ideas. </w:t>
      </w:r>
      <w:r w:rsidRPr="005D10C1">
        <w:rPr>
          <w:rFonts w:ascii="Candara" w:hAnsi="Candara"/>
          <w:i/>
          <w:iCs/>
          <w:noProof/>
          <w:lang w:val="en-US"/>
        </w:rPr>
        <w:t>Journal of Business Venturing</w:t>
      </w:r>
      <w:r w:rsidRPr="005D10C1">
        <w:rPr>
          <w:rFonts w:ascii="Candara" w:hAnsi="Candara"/>
          <w:noProof/>
          <w:lang w:val="en-US"/>
        </w:rPr>
        <w:t xml:space="preserve">, </w:t>
      </w:r>
      <w:r w:rsidRPr="005D10C1">
        <w:rPr>
          <w:rFonts w:ascii="Candara" w:hAnsi="Candara"/>
          <w:i/>
          <w:iCs/>
          <w:noProof/>
          <w:lang w:val="en-US"/>
        </w:rPr>
        <w:t>20</w:t>
      </w:r>
      <w:r w:rsidRPr="005D10C1">
        <w:rPr>
          <w:rFonts w:ascii="Candara" w:hAnsi="Candara"/>
          <w:noProof/>
          <w:lang w:val="en-US"/>
        </w:rPr>
        <w:t>(6), 821–845. doi:10.1016/j.jbusvent.2004.07.002</w:t>
      </w:r>
    </w:p>
    <w:p w14:paraId="1CFD7CE1" w14:textId="77777777" w:rsidR="00CA1A09" w:rsidRPr="005D10C1" w:rsidRDefault="00CA1A09">
      <w:pPr>
        <w:pStyle w:val="NormalWeb"/>
        <w:ind w:left="480" w:hanging="480"/>
        <w:divId w:val="602030852"/>
        <w:rPr>
          <w:rFonts w:ascii="Candara" w:hAnsi="Candara"/>
          <w:noProof/>
          <w:lang w:val="en-US"/>
        </w:rPr>
      </w:pPr>
      <w:r w:rsidRPr="005D10C1">
        <w:rPr>
          <w:rFonts w:ascii="Candara" w:hAnsi="Candara"/>
          <w:noProof/>
          <w:lang w:val="en-US"/>
        </w:rPr>
        <w:t xml:space="preserve">Helm, R., &amp; Mauroner, O. (2007). Success of research-based spin-offs. State-of-the-art and guidelines for further research. </w:t>
      </w:r>
      <w:r w:rsidRPr="005D10C1">
        <w:rPr>
          <w:rFonts w:ascii="Candara" w:hAnsi="Candara"/>
          <w:i/>
          <w:iCs/>
          <w:noProof/>
          <w:lang w:val="en-US"/>
        </w:rPr>
        <w:t>Review of Managerial Science</w:t>
      </w:r>
      <w:r w:rsidRPr="005D10C1">
        <w:rPr>
          <w:rFonts w:ascii="Candara" w:hAnsi="Candara"/>
          <w:noProof/>
          <w:lang w:val="en-US"/>
        </w:rPr>
        <w:t xml:space="preserve">, </w:t>
      </w:r>
      <w:r w:rsidRPr="005D10C1">
        <w:rPr>
          <w:rFonts w:ascii="Candara" w:hAnsi="Candara"/>
          <w:i/>
          <w:iCs/>
          <w:noProof/>
          <w:lang w:val="en-US"/>
        </w:rPr>
        <w:t>1</w:t>
      </w:r>
      <w:r w:rsidRPr="005D10C1">
        <w:rPr>
          <w:rFonts w:ascii="Candara" w:hAnsi="Candara"/>
          <w:noProof/>
          <w:lang w:val="en-US"/>
        </w:rPr>
        <w:t>(3), 237–270. doi:10.1007/s11846-007-0010-x</w:t>
      </w:r>
    </w:p>
    <w:p w14:paraId="43AC786A" w14:textId="77777777" w:rsidR="00CA1A09" w:rsidRPr="005D10C1" w:rsidRDefault="00CA1A09">
      <w:pPr>
        <w:pStyle w:val="NormalWeb"/>
        <w:ind w:left="480" w:hanging="480"/>
        <w:divId w:val="602030852"/>
        <w:rPr>
          <w:rFonts w:ascii="Candara" w:hAnsi="Candara"/>
          <w:noProof/>
          <w:lang w:val="en-US"/>
        </w:rPr>
      </w:pPr>
      <w:r w:rsidRPr="005D10C1">
        <w:rPr>
          <w:rFonts w:ascii="Candara" w:hAnsi="Candara"/>
          <w:noProof/>
          <w:lang w:val="en-US"/>
        </w:rPr>
        <w:t>Helm, R., &amp; Mauroner, O. (2011). Soft starters , research boutiques and product-oriented firms</w:t>
      </w:r>
      <w:r w:rsidRPr="005D10C1">
        <w:rPr>
          <w:rFonts w:ascii="Arial" w:hAnsi="Arial" w:cs="Arial"/>
          <w:noProof/>
          <w:lang w:val="en-US"/>
        </w:rPr>
        <w:t> </w:t>
      </w:r>
      <w:r w:rsidRPr="005D10C1">
        <w:rPr>
          <w:rFonts w:ascii="Candara" w:hAnsi="Candara"/>
          <w:noProof/>
          <w:lang w:val="en-US"/>
        </w:rPr>
        <w:t xml:space="preserve">: different business models for spin-off companies. </w:t>
      </w:r>
      <w:r w:rsidRPr="005D10C1">
        <w:rPr>
          <w:rFonts w:ascii="Candara" w:hAnsi="Candara"/>
          <w:i/>
          <w:iCs/>
          <w:noProof/>
          <w:lang w:val="en-US"/>
        </w:rPr>
        <w:t xml:space="preserve">International </w:t>
      </w:r>
      <w:r w:rsidRPr="005D10C1">
        <w:rPr>
          <w:rFonts w:ascii="Candara" w:hAnsi="Candara"/>
          <w:i/>
          <w:iCs/>
          <w:noProof/>
          <w:lang w:val="en-US"/>
        </w:rPr>
        <w:lastRenderedPageBreak/>
        <w:t>Journal of Entrepreneurship and Small Business</w:t>
      </w:r>
      <w:r w:rsidRPr="005D10C1">
        <w:rPr>
          <w:rFonts w:ascii="Candara" w:hAnsi="Candara"/>
          <w:noProof/>
          <w:lang w:val="en-US"/>
        </w:rPr>
        <w:t xml:space="preserve">, </w:t>
      </w:r>
      <w:r w:rsidRPr="005D10C1">
        <w:rPr>
          <w:rFonts w:ascii="Candara" w:hAnsi="Candara"/>
          <w:i/>
          <w:iCs/>
          <w:noProof/>
          <w:lang w:val="en-US"/>
        </w:rPr>
        <w:t>12</w:t>
      </w:r>
      <w:r w:rsidRPr="005D10C1">
        <w:rPr>
          <w:rFonts w:ascii="Candara" w:hAnsi="Candara"/>
          <w:noProof/>
          <w:lang w:val="en-US"/>
        </w:rPr>
        <w:t>(4). Retrieved from http://inderscience.metapress.com/index/B773M4777784J014.pdf</w:t>
      </w:r>
    </w:p>
    <w:p w14:paraId="4A944895" w14:textId="77777777" w:rsidR="00CA1A09" w:rsidRPr="005D10C1" w:rsidRDefault="00CA1A09">
      <w:pPr>
        <w:pStyle w:val="NormalWeb"/>
        <w:ind w:left="480" w:hanging="480"/>
        <w:divId w:val="602030852"/>
        <w:rPr>
          <w:rFonts w:ascii="Candara" w:hAnsi="Candara"/>
          <w:noProof/>
          <w:lang w:val="en-US"/>
        </w:rPr>
      </w:pPr>
      <w:r w:rsidRPr="005D10C1">
        <w:rPr>
          <w:rFonts w:ascii="Candara" w:hAnsi="Candara"/>
          <w:noProof/>
          <w:lang w:val="en-US"/>
        </w:rPr>
        <w:t xml:space="preserve">Helm, R., Mauroner, O., &amp; Dowling, M. (2010). Innovation as mediator between entrepreneurial orientation and spin-off venture performance. </w:t>
      </w:r>
      <w:r w:rsidRPr="005D10C1">
        <w:rPr>
          <w:rFonts w:ascii="Candara" w:hAnsi="Candara"/>
          <w:i/>
          <w:iCs/>
          <w:noProof/>
          <w:lang w:val="en-US"/>
        </w:rPr>
        <w:t>International Journal of Entrepreneurship and Small Business</w:t>
      </w:r>
      <w:r w:rsidRPr="005D10C1">
        <w:rPr>
          <w:rFonts w:ascii="Candara" w:hAnsi="Candara"/>
          <w:noProof/>
          <w:lang w:val="en-US"/>
        </w:rPr>
        <w:t xml:space="preserve">, </w:t>
      </w:r>
      <w:r w:rsidRPr="005D10C1">
        <w:rPr>
          <w:rFonts w:ascii="Candara" w:hAnsi="Candara"/>
          <w:i/>
          <w:iCs/>
          <w:noProof/>
          <w:lang w:val="en-US"/>
        </w:rPr>
        <w:t>11</w:t>
      </w:r>
      <w:r w:rsidRPr="005D10C1">
        <w:rPr>
          <w:rFonts w:ascii="Candara" w:hAnsi="Candara"/>
          <w:noProof/>
          <w:lang w:val="en-US"/>
        </w:rPr>
        <w:t>(4), 472–491.</w:t>
      </w:r>
    </w:p>
    <w:p w14:paraId="35B1604F" w14:textId="77777777" w:rsidR="00CA1A09" w:rsidRPr="005D10C1" w:rsidRDefault="00CA1A09">
      <w:pPr>
        <w:pStyle w:val="NormalWeb"/>
        <w:ind w:left="480" w:hanging="480"/>
        <w:divId w:val="602030852"/>
        <w:rPr>
          <w:rFonts w:ascii="Candara" w:hAnsi="Candara"/>
          <w:noProof/>
          <w:lang w:val="en-US"/>
        </w:rPr>
      </w:pPr>
      <w:r w:rsidRPr="005D10C1">
        <w:rPr>
          <w:rFonts w:ascii="Candara" w:hAnsi="Candara"/>
          <w:noProof/>
          <w:lang w:val="en-US"/>
        </w:rPr>
        <w:t>How ATP Works. (2010). Retrieved September 20, 2013, from http://www.atp.nist.gov/atp/overview.htm</w:t>
      </w:r>
    </w:p>
    <w:p w14:paraId="70C88AEA" w14:textId="77777777" w:rsidR="00CA1A09" w:rsidRPr="005D10C1" w:rsidRDefault="00CA1A09">
      <w:pPr>
        <w:pStyle w:val="NormalWeb"/>
        <w:ind w:left="480" w:hanging="480"/>
        <w:divId w:val="602030852"/>
        <w:rPr>
          <w:rFonts w:ascii="Candara" w:hAnsi="Candara"/>
          <w:noProof/>
          <w:lang w:val="pt-BR"/>
        </w:rPr>
      </w:pPr>
      <w:r w:rsidRPr="005D10C1">
        <w:rPr>
          <w:rFonts w:ascii="Candara" w:hAnsi="Candara"/>
          <w:noProof/>
          <w:lang w:val="pt-BR"/>
        </w:rPr>
        <w:t>Ieis, F. (2010). Sistema Nacional de Ciência , Tecnologia e Inovação no Brasil</w:t>
      </w:r>
      <w:r w:rsidRPr="005D10C1">
        <w:rPr>
          <w:rFonts w:ascii="Arial" w:hAnsi="Arial" w:cs="Arial"/>
          <w:noProof/>
          <w:lang w:val="pt-BR"/>
        </w:rPr>
        <w:t> </w:t>
      </w:r>
      <w:r w:rsidRPr="005D10C1">
        <w:rPr>
          <w:rFonts w:ascii="Candara" w:hAnsi="Candara"/>
          <w:noProof/>
          <w:lang w:val="pt-BR"/>
        </w:rPr>
        <w:t>: o Resultado da Coopera</w:t>
      </w:r>
      <w:r w:rsidRPr="005D10C1">
        <w:rPr>
          <w:rFonts w:ascii="Candara" w:hAnsi="Candara" w:cs="Candara"/>
          <w:noProof/>
          <w:lang w:val="pt-BR"/>
        </w:rPr>
        <w:t>çã</w:t>
      </w:r>
      <w:r w:rsidRPr="005D10C1">
        <w:rPr>
          <w:rFonts w:ascii="Candara" w:hAnsi="Candara"/>
          <w:noProof/>
          <w:lang w:val="pt-BR"/>
        </w:rPr>
        <w:t>o nas Empresas Privadas e Estatais a partir de National System of Science , Technology and Innovation in Brasil</w:t>
      </w:r>
      <w:r w:rsidRPr="005D10C1">
        <w:rPr>
          <w:rFonts w:ascii="Arial" w:hAnsi="Arial" w:cs="Arial"/>
          <w:noProof/>
          <w:lang w:val="pt-BR"/>
        </w:rPr>
        <w:t> </w:t>
      </w:r>
      <w:r w:rsidRPr="005D10C1">
        <w:rPr>
          <w:rFonts w:ascii="Candara" w:hAnsi="Candara"/>
          <w:noProof/>
          <w:lang w:val="pt-BR"/>
        </w:rPr>
        <w:t>: the Result of Cooperation in State and Private Compan.</w:t>
      </w:r>
    </w:p>
    <w:p w14:paraId="58863981" w14:textId="77777777" w:rsidR="00CA1A09" w:rsidRPr="005D10C1" w:rsidRDefault="00CA1A09">
      <w:pPr>
        <w:pStyle w:val="NormalWeb"/>
        <w:ind w:left="480" w:hanging="480"/>
        <w:divId w:val="602030852"/>
        <w:rPr>
          <w:rFonts w:ascii="Candara" w:hAnsi="Candara"/>
          <w:noProof/>
          <w:lang w:val="en-US"/>
        </w:rPr>
      </w:pPr>
      <w:r w:rsidRPr="005D10C1">
        <w:rPr>
          <w:rFonts w:ascii="Candara" w:hAnsi="Candara"/>
          <w:noProof/>
        </w:rPr>
        <w:t xml:space="preserve">Iglesias, P. (2010). </w:t>
      </w:r>
      <w:r w:rsidRPr="005D10C1">
        <w:rPr>
          <w:rFonts w:ascii="Candara" w:hAnsi="Candara"/>
          <w:i/>
          <w:iCs/>
          <w:noProof/>
        </w:rPr>
        <w:t>Las Spin-Off Universitarias como mecanismo de transferencia de tecnología y su impacto económico en base a la actividad de I+ D+ i</w:t>
      </w:r>
      <w:r w:rsidRPr="005D10C1">
        <w:rPr>
          <w:rFonts w:ascii="Candara" w:hAnsi="Candara"/>
          <w:noProof/>
        </w:rPr>
        <w:t xml:space="preserve">. Universidad de Málaga. </w:t>
      </w:r>
      <w:r w:rsidRPr="005D10C1">
        <w:rPr>
          <w:rFonts w:ascii="Candara" w:hAnsi="Candara"/>
          <w:noProof/>
          <w:lang w:val="en-US"/>
        </w:rPr>
        <w:t>Retrieved from http://riuma.uma.es/xmlui/handle/10630/4716</w:t>
      </w:r>
    </w:p>
    <w:p w14:paraId="3058E580" w14:textId="77777777" w:rsidR="00CA1A09" w:rsidRPr="005D10C1" w:rsidRDefault="00CA1A09">
      <w:pPr>
        <w:pStyle w:val="NormalWeb"/>
        <w:ind w:left="480" w:hanging="480"/>
        <w:divId w:val="602030852"/>
        <w:rPr>
          <w:rFonts w:ascii="Candara" w:hAnsi="Candara"/>
          <w:noProof/>
          <w:lang w:val="en-US"/>
        </w:rPr>
      </w:pPr>
      <w:r w:rsidRPr="005D10C1">
        <w:rPr>
          <w:rFonts w:ascii="Candara" w:hAnsi="Candara"/>
          <w:noProof/>
          <w:lang w:val="en-US"/>
        </w:rPr>
        <w:t>Investing in University Spin-Offs. (2011). Retrieved September 17, 2013, from http://entremeister.typepad.com/vinit_nijhawan/2011/05/investing-in-university-spin-offs.html</w:t>
      </w:r>
    </w:p>
    <w:p w14:paraId="5D693EF5" w14:textId="77777777" w:rsidR="00CA1A09" w:rsidRPr="005D10C1" w:rsidRDefault="00CA1A09">
      <w:pPr>
        <w:pStyle w:val="NormalWeb"/>
        <w:ind w:left="480" w:hanging="480"/>
        <w:divId w:val="602030852"/>
        <w:rPr>
          <w:rFonts w:ascii="Candara" w:hAnsi="Candara"/>
          <w:noProof/>
          <w:lang w:val="en-US"/>
        </w:rPr>
      </w:pPr>
      <w:r w:rsidRPr="005D10C1">
        <w:rPr>
          <w:rFonts w:ascii="Candara" w:hAnsi="Candara"/>
          <w:noProof/>
          <w:lang w:val="en-US"/>
        </w:rPr>
        <w:t xml:space="preserve">Jones-Evans, D. (1998). Universities, technology transfer and spin-off activities: Academic entrepreneurship in different European regions. </w:t>
      </w:r>
      <w:r w:rsidRPr="005D10C1">
        <w:rPr>
          <w:rFonts w:ascii="Candara" w:hAnsi="Candara"/>
          <w:i/>
          <w:iCs/>
          <w:noProof/>
          <w:lang w:val="en-US"/>
        </w:rPr>
        <w:t>Targeted socio-economic research project</w:t>
      </w:r>
      <w:r w:rsidRPr="005D10C1">
        <w:rPr>
          <w:rFonts w:ascii="Candara" w:hAnsi="Candara"/>
          <w:noProof/>
          <w:lang w:val="en-US"/>
        </w:rPr>
        <w:t>. Retrieved from http://62.164.176.164/d/utheschoolforbusinandregiondevelreport.pdf</w:t>
      </w:r>
    </w:p>
    <w:p w14:paraId="29A12694" w14:textId="77777777" w:rsidR="00CA1A09" w:rsidRPr="005D10C1" w:rsidRDefault="00CA1A09">
      <w:pPr>
        <w:pStyle w:val="NormalWeb"/>
        <w:ind w:left="480" w:hanging="480"/>
        <w:divId w:val="602030852"/>
        <w:rPr>
          <w:rFonts w:ascii="Candara" w:hAnsi="Candara"/>
          <w:noProof/>
          <w:lang w:val="en-US"/>
        </w:rPr>
      </w:pPr>
      <w:r w:rsidRPr="005D10C1">
        <w:rPr>
          <w:rFonts w:ascii="Candara" w:hAnsi="Candara"/>
          <w:noProof/>
          <w:lang w:val="en-US"/>
        </w:rPr>
        <w:t xml:space="preserve">Kroll, H., &amp; Liefner, I. (2008). Spin-off enterprises as a means of technology commercialisation in a transforming economy—Evidence from three universities in China. </w:t>
      </w:r>
      <w:r w:rsidRPr="005D10C1">
        <w:rPr>
          <w:rFonts w:ascii="Candara" w:hAnsi="Candara"/>
          <w:i/>
          <w:iCs/>
          <w:noProof/>
          <w:lang w:val="en-US"/>
        </w:rPr>
        <w:t>Technovation</w:t>
      </w:r>
      <w:r w:rsidRPr="005D10C1">
        <w:rPr>
          <w:rFonts w:ascii="Candara" w:hAnsi="Candara"/>
          <w:noProof/>
          <w:lang w:val="en-US"/>
        </w:rPr>
        <w:t xml:space="preserve">, </w:t>
      </w:r>
      <w:r w:rsidRPr="005D10C1">
        <w:rPr>
          <w:rFonts w:ascii="Candara" w:hAnsi="Candara"/>
          <w:i/>
          <w:iCs/>
          <w:noProof/>
          <w:lang w:val="en-US"/>
        </w:rPr>
        <w:t>28</w:t>
      </w:r>
      <w:r w:rsidRPr="005D10C1">
        <w:rPr>
          <w:rFonts w:ascii="Candara" w:hAnsi="Candara"/>
          <w:noProof/>
          <w:lang w:val="en-US"/>
        </w:rPr>
        <w:t>(5), 298–313. doi:10.1016/j.technovation.2007.05.002</w:t>
      </w:r>
    </w:p>
    <w:p w14:paraId="2651D2FC" w14:textId="77777777" w:rsidR="00CA1A09" w:rsidRPr="005D10C1" w:rsidRDefault="00CA1A09">
      <w:pPr>
        <w:pStyle w:val="NormalWeb"/>
        <w:ind w:left="480" w:hanging="480"/>
        <w:divId w:val="602030852"/>
        <w:rPr>
          <w:rFonts w:ascii="Candara" w:hAnsi="Candara"/>
          <w:noProof/>
          <w:lang w:val="en-US"/>
        </w:rPr>
      </w:pPr>
      <w:r w:rsidRPr="005D10C1">
        <w:rPr>
          <w:rFonts w:ascii="Candara" w:hAnsi="Candara"/>
          <w:noProof/>
          <w:lang w:val="en-US"/>
        </w:rPr>
        <w:t>Lei n</w:t>
      </w:r>
      <w:r w:rsidRPr="005D10C1">
        <w:rPr>
          <w:rFonts w:ascii="Candara" w:hAnsi="Candara"/>
          <w:noProof/>
          <w:vertAlign w:val="superscript"/>
          <w:lang w:val="en-US"/>
        </w:rPr>
        <w:t>o</w:t>
      </w:r>
      <w:r w:rsidRPr="005D10C1">
        <w:rPr>
          <w:rFonts w:ascii="Candara" w:hAnsi="Candara"/>
          <w:noProof/>
          <w:lang w:val="en-US"/>
        </w:rPr>
        <w:t xml:space="preserve"> 10.973. (2004). Retrieved from http://www.mct.gov.br/index.php/content/view/3293.html</w:t>
      </w:r>
    </w:p>
    <w:p w14:paraId="2C17D182" w14:textId="77777777" w:rsidR="00CA1A09" w:rsidRPr="00AC592C" w:rsidRDefault="00CA1A09">
      <w:pPr>
        <w:pStyle w:val="NormalWeb"/>
        <w:ind w:left="480" w:hanging="480"/>
        <w:divId w:val="602030852"/>
        <w:rPr>
          <w:rFonts w:ascii="Candara" w:hAnsi="Candara"/>
          <w:noProof/>
          <w:lang w:val="en-US"/>
        </w:rPr>
      </w:pPr>
      <w:r w:rsidRPr="00AC592C">
        <w:rPr>
          <w:rFonts w:ascii="Candara" w:hAnsi="Candara"/>
          <w:noProof/>
          <w:lang w:val="en-US"/>
        </w:rPr>
        <w:t>Lei n</w:t>
      </w:r>
      <w:r w:rsidRPr="00AC592C">
        <w:rPr>
          <w:rFonts w:ascii="Candara" w:hAnsi="Candara"/>
          <w:noProof/>
          <w:vertAlign w:val="superscript"/>
          <w:lang w:val="en-US"/>
        </w:rPr>
        <w:t>o</w:t>
      </w:r>
      <w:r w:rsidRPr="00AC592C">
        <w:rPr>
          <w:rFonts w:ascii="Candara" w:hAnsi="Candara"/>
          <w:noProof/>
          <w:lang w:val="en-US"/>
        </w:rPr>
        <w:t xml:space="preserve"> 11.196. (2005). Retrieved from http://www.planalto.gov.br/ccivil_03/_ato2004-2006/2005/lei/l11196.htm</w:t>
      </w:r>
    </w:p>
    <w:p w14:paraId="28CD3867" w14:textId="77777777" w:rsidR="00CA1A09" w:rsidRPr="005D10C1" w:rsidRDefault="00CA1A09">
      <w:pPr>
        <w:pStyle w:val="NormalWeb"/>
        <w:ind w:left="480" w:hanging="480"/>
        <w:divId w:val="602030852"/>
        <w:rPr>
          <w:rFonts w:ascii="Candara" w:hAnsi="Candara"/>
          <w:noProof/>
          <w:lang w:val="en-US"/>
        </w:rPr>
      </w:pPr>
      <w:r w:rsidRPr="005D10C1">
        <w:rPr>
          <w:rFonts w:ascii="Candara" w:hAnsi="Candara"/>
          <w:noProof/>
        </w:rPr>
        <w:t xml:space="preserve">Ley 14/2011, de la Ciencia, la Tecnología y la Innovación. </w:t>
      </w:r>
      <w:r w:rsidRPr="005D10C1">
        <w:rPr>
          <w:rFonts w:ascii="Candara" w:hAnsi="Candara"/>
          <w:noProof/>
          <w:lang w:val="en-US"/>
        </w:rPr>
        <w:t>(2011). Retrieved September 25, 2013, from http://www.boe.es/diario_boe/txt.php?id=BOE-A-2011-9617</w:t>
      </w:r>
    </w:p>
    <w:p w14:paraId="63F98887" w14:textId="77777777" w:rsidR="00CA1A09" w:rsidRPr="005D10C1" w:rsidRDefault="00CA1A09">
      <w:pPr>
        <w:pStyle w:val="NormalWeb"/>
        <w:ind w:left="480" w:hanging="480"/>
        <w:divId w:val="602030852"/>
        <w:rPr>
          <w:rFonts w:ascii="Candara" w:hAnsi="Candara"/>
          <w:noProof/>
          <w:lang w:val="en-US"/>
        </w:rPr>
      </w:pPr>
      <w:r w:rsidRPr="005D10C1">
        <w:rPr>
          <w:rFonts w:ascii="Candara" w:hAnsi="Candara"/>
          <w:noProof/>
        </w:rPr>
        <w:lastRenderedPageBreak/>
        <w:t xml:space="preserve">Ley 53/1984, de 26 de diciembre, de Incompatibilidades del Personal al Servicio de las Administraciones Públicas. </w:t>
      </w:r>
      <w:r w:rsidRPr="005D10C1">
        <w:rPr>
          <w:rFonts w:ascii="Candara" w:hAnsi="Candara"/>
          <w:noProof/>
          <w:lang w:val="en-US"/>
        </w:rPr>
        <w:t>(1984). Retrieved September 25, 2013, from https://www.boe.es/buscar/doc.php?id=BOE-A-1985-151</w:t>
      </w:r>
    </w:p>
    <w:p w14:paraId="76F79D53" w14:textId="77777777" w:rsidR="00CA1A09" w:rsidRPr="005D10C1" w:rsidRDefault="00CA1A09">
      <w:pPr>
        <w:pStyle w:val="NormalWeb"/>
        <w:ind w:left="480" w:hanging="480"/>
        <w:divId w:val="602030852"/>
        <w:rPr>
          <w:rFonts w:ascii="Candara" w:hAnsi="Candara"/>
          <w:noProof/>
          <w:lang w:val="en-US"/>
        </w:rPr>
      </w:pPr>
      <w:r w:rsidRPr="005D10C1">
        <w:rPr>
          <w:rFonts w:ascii="Candara" w:hAnsi="Candara"/>
          <w:noProof/>
        </w:rPr>
        <w:t xml:space="preserve">Ley Orgánica 6/2001, de 21 de diciembre. </w:t>
      </w:r>
      <w:r w:rsidRPr="005D10C1">
        <w:rPr>
          <w:rFonts w:ascii="Candara" w:hAnsi="Candara"/>
          <w:noProof/>
          <w:lang w:val="en-US"/>
        </w:rPr>
        <w:t>(2001). Retrieved September 25, 2013, from http://www.boe.es/buscar/act.php?id=BOE-A-2001-24515</w:t>
      </w:r>
    </w:p>
    <w:p w14:paraId="145B63C7" w14:textId="77777777" w:rsidR="00CA1A09" w:rsidRPr="005D10C1" w:rsidRDefault="00CA1A09">
      <w:pPr>
        <w:pStyle w:val="NormalWeb"/>
        <w:ind w:left="480" w:hanging="480"/>
        <w:divId w:val="602030852"/>
        <w:rPr>
          <w:rFonts w:ascii="Candara" w:hAnsi="Candara"/>
          <w:noProof/>
          <w:lang w:val="en-US"/>
        </w:rPr>
      </w:pPr>
      <w:r w:rsidRPr="005D10C1">
        <w:rPr>
          <w:rFonts w:ascii="Candara" w:hAnsi="Candara"/>
          <w:noProof/>
          <w:lang w:val="en-US"/>
        </w:rPr>
        <w:t xml:space="preserve">Lockett, A., Siegel, D., Wright, M., &amp; Ensley, M. (2005a). The creation of spin-off firms at public research institutions: Managerial and policy implications. </w:t>
      </w:r>
      <w:r w:rsidRPr="005D10C1">
        <w:rPr>
          <w:rFonts w:ascii="Candara" w:hAnsi="Candara"/>
          <w:i/>
          <w:iCs/>
          <w:noProof/>
          <w:lang w:val="en-US"/>
        </w:rPr>
        <w:t>Research Policy</w:t>
      </w:r>
      <w:r w:rsidRPr="005D10C1">
        <w:rPr>
          <w:rFonts w:ascii="Candara" w:hAnsi="Candara"/>
          <w:noProof/>
          <w:lang w:val="en-US"/>
        </w:rPr>
        <w:t xml:space="preserve">, </w:t>
      </w:r>
      <w:r w:rsidRPr="005D10C1">
        <w:rPr>
          <w:rFonts w:ascii="Candara" w:hAnsi="Candara"/>
          <w:i/>
          <w:iCs/>
          <w:noProof/>
          <w:lang w:val="en-US"/>
        </w:rPr>
        <w:t>34</w:t>
      </w:r>
      <w:r w:rsidRPr="005D10C1">
        <w:rPr>
          <w:rFonts w:ascii="Candara" w:hAnsi="Candara"/>
          <w:noProof/>
          <w:lang w:val="en-US"/>
        </w:rPr>
        <w:t>(7), 981–993. Retrieved from http://www.scopus.com/inward/record.url?eid=2-s2.0-24344462223&amp;partnerID=40&amp;md5=5e280d7684280f6667e9811f3eeb0547</w:t>
      </w:r>
    </w:p>
    <w:p w14:paraId="110F8F0E" w14:textId="77777777" w:rsidR="00CA1A09" w:rsidRPr="005D10C1" w:rsidRDefault="00CA1A09">
      <w:pPr>
        <w:pStyle w:val="NormalWeb"/>
        <w:ind w:left="480" w:hanging="480"/>
        <w:divId w:val="602030852"/>
        <w:rPr>
          <w:rFonts w:ascii="Candara" w:hAnsi="Candara"/>
          <w:noProof/>
          <w:lang w:val="en-US"/>
        </w:rPr>
      </w:pPr>
      <w:r w:rsidRPr="005D10C1">
        <w:rPr>
          <w:rFonts w:ascii="Candara" w:hAnsi="Candara"/>
          <w:noProof/>
          <w:lang w:val="en-US"/>
        </w:rPr>
        <w:t xml:space="preserve">Lockett, A., Siegel, D., Wright, M., &amp; Ensley, M. D. (2005b). The creation of spin-off firms at public research institutions: Managerial and policy implications. </w:t>
      </w:r>
      <w:r w:rsidRPr="005D10C1">
        <w:rPr>
          <w:rFonts w:ascii="Candara" w:hAnsi="Candara"/>
          <w:i/>
          <w:iCs/>
          <w:noProof/>
          <w:lang w:val="en-US"/>
        </w:rPr>
        <w:t>Research Policy</w:t>
      </w:r>
      <w:r w:rsidRPr="005D10C1">
        <w:rPr>
          <w:rFonts w:ascii="Candara" w:hAnsi="Candara"/>
          <w:noProof/>
          <w:lang w:val="en-US"/>
        </w:rPr>
        <w:t xml:space="preserve">, </w:t>
      </w:r>
      <w:r w:rsidRPr="005D10C1">
        <w:rPr>
          <w:rFonts w:ascii="Candara" w:hAnsi="Candara"/>
          <w:i/>
          <w:iCs/>
          <w:noProof/>
          <w:lang w:val="en-US"/>
        </w:rPr>
        <w:t>34</w:t>
      </w:r>
      <w:r w:rsidRPr="005D10C1">
        <w:rPr>
          <w:rFonts w:ascii="Candara" w:hAnsi="Candara"/>
          <w:noProof/>
          <w:lang w:val="en-US"/>
        </w:rPr>
        <w:t>(7), 981–993. doi:10.1016/j.respol.2005.05.010</w:t>
      </w:r>
    </w:p>
    <w:p w14:paraId="1CEFC3AF" w14:textId="77777777" w:rsidR="00CA1A09" w:rsidRPr="005D10C1" w:rsidRDefault="00CA1A09">
      <w:pPr>
        <w:pStyle w:val="NormalWeb"/>
        <w:ind w:left="480" w:hanging="480"/>
        <w:divId w:val="602030852"/>
        <w:rPr>
          <w:rFonts w:ascii="Candara" w:hAnsi="Candara"/>
          <w:noProof/>
          <w:lang w:val="en-US"/>
        </w:rPr>
      </w:pPr>
      <w:r w:rsidRPr="005D10C1">
        <w:rPr>
          <w:rFonts w:ascii="Candara" w:hAnsi="Candara"/>
          <w:noProof/>
          <w:lang w:val="en-US"/>
        </w:rPr>
        <w:t xml:space="preserve">Louis, K., Blumenthal, D., Gluck, M., &amp; Stoto, M. (1989). Entrepreneurs in academe: An exploration of behaviors among life scientists. </w:t>
      </w:r>
      <w:r w:rsidRPr="005D10C1">
        <w:rPr>
          <w:rFonts w:ascii="Candara" w:hAnsi="Candara"/>
          <w:i/>
          <w:iCs/>
          <w:noProof/>
          <w:lang w:val="en-US"/>
        </w:rPr>
        <w:t>Administrative Science Quarterly</w:t>
      </w:r>
      <w:r w:rsidRPr="005D10C1">
        <w:rPr>
          <w:rFonts w:ascii="Candara" w:hAnsi="Candara"/>
          <w:noProof/>
          <w:lang w:val="en-US"/>
        </w:rPr>
        <w:t>. Retrieved from http://www.jstor.org/stable/10.2307/2392988</w:t>
      </w:r>
    </w:p>
    <w:p w14:paraId="3532E1DF" w14:textId="77777777" w:rsidR="00CA1A09" w:rsidRPr="005D10C1" w:rsidRDefault="00CA1A09">
      <w:pPr>
        <w:pStyle w:val="NormalWeb"/>
        <w:ind w:left="480" w:hanging="480"/>
        <w:divId w:val="602030852"/>
        <w:rPr>
          <w:rFonts w:ascii="Candara" w:hAnsi="Candara"/>
          <w:noProof/>
        </w:rPr>
      </w:pPr>
      <w:r w:rsidRPr="005D10C1">
        <w:rPr>
          <w:rFonts w:ascii="Candara" w:hAnsi="Candara"/>
          <w:noProof/>
        </w:rPr>
        <w:t xml:space="preserve">Maculan, A.-M., &amp; de Mello, J. M. C. (2009). </w:t>
      </w:r>
      <w:r w:rsidRPr="005D10C1">
        <w:rPr>
          <w:rFonts w:ascii="Candara" w:hAnsi="Candara"/>
          <w:noProof/>
          <w:lang w:val="en-US"/>
        </w:rPr>
        <w:t xml:space="preserve">University start-ups for breaking lock-ins of the Brazilian economy. </w:t>
      </w:r>
      <w:r w:rsidRPr="005D10C1">
        <w:rPr>
          <w:rFonts w:ascii="Candara" w:hAnsi="Candara"/>
          <w:i/>
          <w:iCs/>
          <w:noProof/>
        </w:rPr>
        <w:t>Science and Public Policy</w:t>
      </w:r>
      <w:r w:rsidRPr="005D10C1">
        <w:rPr>
          <w:rFonts w:ascii="Candara" w:hAnsi="Candara"/>
          <w:noProof/>
        </w:rPr>
        <w:t xml:space="preserve">, </w:t>
      </w:r>
      <w:r w:rsidRPr="005D10C1">
        <w:rPr>
          <w:rFonts w:ascii="Candara" w:hAnsi="Candara"/>
          <w:i/>
          <w:iCs/>
          <w:noProof/>
        </w:rPr>
        <w:t>36</w:t>
      </w:r>
      <w:r w:rsidRPr="005D10C1">
        <w:rPr>
          <w:rFonts w:ascii="Candara" w:hAnsi="Candara"/>
          <w:noProof/>
        </w:rPr>
        <w:t>(2), 109–114. doi:10.3152/030234209X406791</w:t>
      </w:r>
    </w:p>
    <w:p w14:paraId="7C1004EB" w14:textId="77777777" w:rsidR="00CA1A09" w:rsidRPr="005D10C1" w:rsidRDefault="00CA1A09">
      <w:pPr>
        <w:pStyle w:val="NormalWeb"/>
        <w:ind w:left="480" w:hanging="480"/>
        <w:divId w:val="602030852"/>
        <w:rPr>
          <w:rFonts w:ascii="Candara" w:hAnsi="Candara"/>
          <w:noProof/>
          <w:lang w:val="en-US"/>
        </w:rPr>
      </w:pPr>
      <w:r w:rsidRPr="005D10C1">
        <w:rPr>
          <w:rFonts w:ascii="Candara" w:hAnsi="Candara"/>
          <w:noProof/>
        </w:rPr>
        <w:t xml:space="preserve">Martinez, L. (2013). </w:t>
      </w:r>
      <w:r w:rsidRPr="005D10C1">
        <w:rPr>
          <w:rFonts w:ascii="Candara" w:hAnsi="Candara"/>
          <w:i/>
          <w:iCs/>
          <w:noProof/>
        </w:rPr>
        <w:t>Panorama de la creación de spin off universitarias híbridas en la Universidad Nacional de Colombia sede Medellín</w:t>
      </w:r>
      <w:r w:rsidRPr="005D10C1">
        <w:rPr>
          <w:rFonts w:ascii="Candara" w:hAnsi="Candara"/>
          <w:noProof/>
        </w:rPr>
        <w:t xml:space="preserve">. </w:t>
      </w:r>
      <w:r w:rsidRPr="005D10C1">
        <w:rPr>
          <w:rFonts w:ascii="Candara" w:hAnsi="Candara"/>
          <w:noProof/>
          <w:lang w:val="en-US"/>
        </w:rPr>
        <w:t>Universidad de Antioquia.</w:t>
      </w:r>
    </w:p>
    <w:p w14:paraId="0D99B491" w14:textId="77777777" w:rsidR="00CA1A09" w:rsidRPr="005D10C1" w:rsidRDefault="00CA1A09">
      <w:pPr>
        <w:pStyle w:val="NormalWeb"/>
        <w:ind w:left="480" w:hanging="480"/>
        <w:divId w:val="602030852"/>
        <w:rPr>
          <w:rFonts w:ascii="Candara" w:hAnsi="Candara"/>
          <w:noProof/>
          <w:lang w:val="en-US"/>
        </w:rPr>
      </w:pPr>
      <w:r w:rsidRPr="005D10C1">
        <w:rPr>
          <w:rFonts w:ascii="Candara" w:hAnsi="Candara"/>
          <w:noProof/>
          <w:lang w:val="en-US"/>
        </w:rPr>
        <w:t xml:space="preserve">McQueen, D. ., &amp; Wallmark, J. . (1982). Spin-off companies from Chalmers University of Technology. </w:t>
      </w:r>
      <w:r w:rsidRPr="005D10C1">
        <w:rPr>
          <w:rFonts w:ascii="Candara" w:hAnsi="Candara"/>
          <w:i/>
          <w:iCs/>
          <w:noProof/>
          <w:lang w:val="en-US"/>
        </w:rPr>
        <w:t>Technovation</w:t>
      </w:r>
      <w:r w:rsidRPr="005D10C1">
        <w:rPr>
          <w:rFonts w:ascii="Candara" w:hAnsi="Candara"/>
          <w:noProof/>
          <w:lang w:val="en-US"/>
        </w:rPr>
        <w:t>. Retrieved from http://www.sciencedirect.com/science/article/pii/0166497282900104</w:t>
      </w:r>
    </w:p>
    <w:p w14:paraId="5CB0E8A1" w14:textId="77777777" w:rsidR="00544115" w:rsidRPr="005D10C1" w:rsidRDefault="00544115" w:rsidP="00544115">
      <w:pPr>
        <w:pStyle w:val="NormalWeb"/>
        <w:ind w:left="480" w:hanging="480"/>
        <w:divId w:val="602030852"/>
        <w:rPr>
          <w:rFonts w:ascii="Candara" w:hAnsi="Candara"/>
          <w:noProof/>
          <w:lang w:val="en-US"/>
        </w:rPr>
      </w:pPr>
      <w:r w:rsidRPr="005D10C1">
        <w:rPr>
          <w:rFonts w:ascii="Candara" w:hAnsi="Candara"/>
          <w:noProof/>
          <w:lang w:val="pt-BR"/>
        </w:rPr>
        <w:t xml:space="preserve">Ministério Da Ciência, Tecnologia E Inovação. </w:t>
      </w:r>
      <w:r w:rsidRPr="005D10C1">
        <w:rPr>
          <w:rFonts w:ascii="Candara" w:hAnsi="Candara"/>
          <w:noProof/>
          <w:lang w:val="en-US"/>
        </w:rPr>
        <w:t>(2008). Retrieved from http://www.mcti.gov.br/</w:t>
      </w:r>
    </w:p>
    <w:p w14:paraId="09D94D0C" w14:textId="77777777" w:rsidR="00CA1A09" w:rsidRPr="005D10C1" w:rsidRDefault="00CA1A09">
      <w:pPr>
        <w:pStyle w:val="NormalWeb"/>
        <w:ind w:left="480" w:hanging="480"/>
        <w:divId w:val="602030852"/>
        <w:rPr>
          <w:rFonts w:ascii="Candara" w:hAnsi="Candara"/>
          <w:noProof/>
          <w:lang w:val="en-US"/>
        </w:rPr>
      </w:pPr>
      <w:r w:rsidRPr="005D10C1">
        <w:rPr>
          <w:rFonts w:ascii="Candara" w:hAnsi="Candara"/>
          <w:noProof/>
          <w:lang w:val="pt-BR"/>
        </w:rPr>
        <w:t xml:space="preserve">Ministério da Ciência Tecnologia e Inovação. (2012). Estratégia Nacional de Ciência, Tecnologia e Inovação 2012 – 2015. </w:t>
      </w:r>
      <w:r w:rsidRPr="005D10C1">
        <w:rPr>
          <w:rFonts w:ascii="Candara" w:hAnsi="Candara"/>
          <w:noProof/>
          <w:lang w:val="en-US"/>
        </w:rPr>
        <w:t>Brasilia. Retrieved from http://www.mct.gov.br/upd_blob/0220/220024.pdf</w:t>
      </w:r>
    </w:p>
    <w:p w14:paraId="706D6FB1" w14:textId="77777777" w:rsidR="00CA1A09" w:rsidRPr="005D10C1" w:rsidRDefault="00CA1A09">
      <w:pPr>
        <w:pStyle w:val="NormalWeb"/>
        <w:ind w:left="480" w:hanging="480"/>
        <w:divId w:val="602030852"/>
        <w:rPr>
          <w:rFonts w:ascii="Candara" w:hAnsi="Candara"/>
          <w:noProof/>
          <w:lang w:val="pt-BR"/>
        </w:rPr>
      </w:pPr>
      <w:r w:rsidRPr="005D10C1">
        <w:rPr>
          <w:rFonts w:ascii="Candara" w:hAnsi="Candara"/>
          <w:noProof/>
          <w:lang w:val="pt-BR"/>
        </w:rPr>
        <w:t>Ministério da Ciência Tecnologia e Inovação. (2013). Institutos Nacionais de Ciência e Tecnologia.</w:t>
      </w:r>
    </w:p>
    <w:p w14:paraId="3162CB31" w14:textId="77777777" w:rsidR="00CA1A09" w:rsidRPr="005D10C1" w:rsidRDefault="00CA1A09">
      <w:pPr>
        <w:pStyle w:val="NormalWeb"/>
        <w:ind w:left="480" w:hanging="480"/>
        <w:divId w:val="602030852"/>
        <w:rPr>
          <w:rFonts w:ascii="Candara" w:hAnsi="Candara"/>
          <w:noProof/>
          <w:lang w:val="en-US"/>
        </w:rPr>
      </w:pPr>
      <w:r w:rsidRPr="005D10C1">
        <w:rPr>
          <w:rFonts w:ascii="Candara" w:hAnsi="Candara"/>
          <w:noProof/>
          <w:lang w:val="pt-BR"/>
        </w:rPr>
        <w:lastRenderedPageBreak/>
        <w:t xml:space="preserve">Ministério da Educação. (2013). Ministério da Educação. </w:t>
      </w:r>
      <w:r w:rsidRPr="005D10C1">
        <w:rPr>
          <w:rFonts w:ascii="Candara" w:hAnsi="Candara"/>
          <w:noProof/>
          <w:lang w:val="en-US"/>
        </w:rPr>
        <w:t>Retrieved from http://portal.mec.gov.br/</w:t>
      </w:r>
    </w:p>
    <w:p w14:paraId="3619F43D" w14:textId="77777777" w:rsidR="00CA1A09" w:rsidRPr="005D10C1" w:rsidRDefault="00CA1A09">
      <w:pPr>
        <w:pStyle w:val="NormalWeb"/>
        <w:ind w:left="480" w:hanging="480"/>
        <w:divId w:val="602030852"/>
        <w:rPr>
          <w:rFonts w:ascii="Candara" w:hAnsi="Candara"/>
          <w:noProof/>
          <w:lang w:val="en-US"/>
        </w:rPr>
      </w:pPr>
      <w:r w:rsidRPr="005D10C1">
        <w:rPr>
          <w:rFonts w:ascii="Candara" w:hAnsi="Candara"/>
          <w:noProof/>
        </w:rPr>
        <w:t xml:space="preserve">Ministerio de Educación. (2010). Estadisticas del sector educativo. </w:t>
      </w:r>
      <w:r w:rsidRPr="005D10C1">
        <w:rPr>
          <w:rFonts w:ascii="Candara" w:hAnsi="Candara"/>
          <w:noProof/>
          <w:lang w:val="en-US"/>
        </w:rPr>
        <w:t>Retrieved from http://menweb.mineducacion.gov.co/seguimiento/estadisticas/principal.php?seccion=13&amp;id_categoria=1&amp;consulta=ies_caracter&amp;nivel=13&amp;dpto=&amp;et=&amp;mun=&amp;ins=&amp;sede=</w:t>
      </w:r>
    </w:p>
    <w:p w14:paraId="1CBB8F0B" w14:textId="77777777" w:rsidR="00CA1A09" w:rsidRPr="005D10C1" w:rsidRDefault="00CA1A09">
      <w:pPr>
        <w:pStyle w:val="NormalWeb"/>
        <w:ind w:left="480" w:hanging="480"/>
        <w:divId w:val="602030852"/>
        <w:rPr>
          <w:rFonts w:ascii="Candara" w:hAnsi="Candara"/>
          <w:noProof/>
        </w:rPr>
      </w:pPr>
      <w:r w:rsidRPr="005D10C1">
        <w:rPr>
          <w:rFonts w:ascii="Candara" w:hAnsi="Candara"/>
          <w:noProof/>
        </w:rPr>
        <w:t>Ministerio de Educación Cultura y Deporte. (2013). Universidades de España. Retrieved from http://www.universidad.es/es/en-espana/estudiar-en-espana/universidades-de-espana</w:t>
      </w:r>
    </w:p>
    <w:p w14:paraId="626B6C64" w14:textId="77777777" w:rsidR="00CA1A09" w:rsidRPr="005D10C1" w:rsidRDefault="00CA1A09">
      <w:pPr>
        <w:pStyle w:val="NormalWeb"/>
        <w:ind w:left="480" w:hanging="480"/>
        <w:divId w:val="602030852"/>
        <w:rPr>
          <w:rFonts w:ascii="Candara" w:hAnsi="Candara"/>
          <w:noProof/>
          <w:lang w:val="en-US"/>
        </w:rPr>
      </w:pPr>
      <w:r w:rsidRPr="00AC592C">
        <w:rPr>
          <w:rFonts w:ascii="Candara" w:hAnsi="Candara"/>
          <w:noProof/>
          <w:lang w:val="en-US"/>
        </w:rPr>
        <w:t xml:space="preserve">Money Tree Report. </w:t>
      </w:r>
      <w:r w:rsidRPr="005D10C1">
        <w:rPr>
          <w:rFonts w:ascii="Candara" w:hAnsi="Candara"/>
          <w:noProof/>
          <w:lang w:val="en-US"/>
        </w:rPr>
        <w:t>(2009). Money Tree Report. Retrieved from https://www.pwcmoneytree.com/MTPublic/ns/index.jsp</w:t>
      </w:r>
    </w:p>
    <w:p w14:paraId="4E2A1889" w14:textId="77777777" w:rsidR="00CA1A09" w:rsidRPr="005D10C1" w:rsidRDefault="00CA1A09">
      <w:pPr>
        <w:pStyle w:val="NormalWeb"/>
        <w:ind w:left="480" w:hanging="480"/>
        <w:divId w:val="602030852"/>
        <w:rPr>
          <w:rFonts w:ascii="Candara" w:hAnsi="Candara"/>
          <w:noProof/>
          <w:lang w:val="en-US"/>
        </w:rPr>
      </w:pPr>
      <w:r w:rsidRPr="005D10C1">
        <w:rPr>
          <w:rFonts w:ascii="Candara" w:hAnsi="Candara"/>
          <w:noProof/>
        </w:rPr>
        <w:t xml:space="preserve">Montenegro, D., &amp; Osorio, C. (2013). Modelo Spin Off en Biotecnología en la Universidad del Valle. </w:t>
      </w:r>
      <w:r w:rsidRPr="005D10C1">
        <w:rPr>
          <w:rFonts w:ascii="Candara" w:hAnsi="Candara"/>
          <w:noProof/>
          <w:lang w:val="en-US"/>
        </w:rPr>
        <w:t>Cali. Retrieved from http://www.altec2013.org/programme_pdf/371.pdf</w:t>
      </w:r>
    </w:p>
    <w:p w14:paraId="3FFC224D" w14:textId="77777777" w:rsidR="00CA1A09" w:rsidRPr="005D10C1" w:rsidRDefault="00CA1A09">
      <w:pPr>
        <w:pStyle w:val="NormalWeb"/>
        <w:ind w:left="480" w:hanging="480"/>
        <w:divId w:val="602030852"/>
        <w:rPr>
          <w:rFonts w:ascii="Candara" w:hAnsi="Candara"/>
          <w:noProof/>
          <w:lang w:val="en-US"/>
        </w:rPr>
      </w:pPr>
      <w:r w:rsidRPr="005D10C1">
        <w:rPr>
          <w:rFonts w:ascii="Candara" w:hAnsi="Candara"/>
          <w:noProof/>
          <w:lang w:val="en-US"/>
        </w:rPr>
        <w:t xml:space="preserve">Morales, S. T. (2008). </w:t>
      </w:r>
      <w:r w:rsidRPr="005D10C1">
        <w:rPr>
          <w:rFonts w:ascii="Candara" w:hAnsi="Candara"/>
          <w:i/>
          <w:iCs/>
          <w:noProof/>
        </w:rPr>
        <w:t>El emprendedor académico y la decisión de crear Spin off: Un análisis del caso español.</w:t>
      </w:r>
      <w:r w:rsidRPr="005D10C1">
        <w:rPr>
          <w:rFonts w:ascii="Candara" w:hAnsi="Candara"/>
          <w:noProof/>
        </w:rPr>
        <w:t xml:space="preserve"> </w:t>
      </w:r>
      <w:r w:rsidRPr="005D10C1">
        <w:rPr>
          <w:rFonts w:ascii="Candara" w:hAnsi="Candara"/>
          <w:noProof/>
          <w:lang w:val="en-US"/>
        </w:rPr>
        <w:t>Universitat de Valencia. Retrieved from http://roderic.uv.es/handle/10550/15172</w:t>
      </w:r>
    </w:p>
    <w:p w14:paraId="46BCB858" w14:textId="77777777" w:rsidR="00CA1A09" w:rsidRPr="005D10C1" w:rsidRDefault="00CA1A09">
      <w:pPr>
        <w:pStyle w:val="NormalWeb"/>
        <w:ind w:left="480" w:hanging="480"/>
        <w:divId w:val="602030852"/>
        <w:rPr>
          <w:rFonts w:ascii="Candara" w:hAnsi="Candara"/>
          <w:noProof/>
          <w:lang w:val="en-US"/>
        </w:rPr>
      </w:pPr>
      <w:r w:rsidRPr="005D10C1">
        <w:rPr>
          <w:rFonts w:ascii="Candara" w:hAnsi="Candara"/>
          <w:noProof/>
          <w:lang w:val="en-US"/>
        </w:rPr>
        <w:t xml:space="preserve">Muegge, S., Sharma, M., &amp; Kumar, U. (2005). An exploratory study of new product development at small university spin-offs. </w:t>
      </w:r>
      <w:r w:rsidRPr="005D10C1">
        <w:rPr>
          <w:rFonts w:ascii="Candara" w:hAnsi="Candara"/>
          <w:i/>
          <w:iCs/>
          <w:noProof/>
          <w:lang w:val="en-US"/>
        </w:rPr>
        <w:t>Proceedings. 2005 IEEE International Engineering Management Conference, 2005.</w:t>
      </w:r>
      <w:r w:rsidRPr="005D10C1">
        <w:rPr>
          <w:rFonts w:ascii="Candara" w:hAnsi="Candara"/>
          <w:noProof/>
          <w:lang w:val="en-US"/>
        </w:rPr>
        <w:t xml:space="preserve">, </w:t>
      </w:r>
      <w:r w:rsidRPr="005D10C1">
        <w:rPr>
          <w:rFonts w:ascii="Candara" w:hAnsi="Candara"/>
          <w:i/>
          <w:iCs/>
          <w:noProof/>
          <w:lang w:val="en-US"/>
        </w:rPr>
        <w:t>2</w:t>
      </w:r>
      <w:r w:rsidRPr="005D10C1">
        <w:rPr>
          <w:rFonts w:ascii="Candara" w:hAnsi="Candara"/>
          <w:noProof/>
          <w:lang w:val="en-US"/>
        </w:rPr>
        <w:t>, 626–631. doi:10.1109/IEMC.2005.1559223</w:t>
      </w:r>
    </w:p>
    <w:p w14:paraId="50F8CFAD" w14:textId="77777777" w:rsidR="00CA1A09" w:rsidRPr="005D10C1" w:rsidRDefault="00CA1A09">
      <w:pPr>
        <w:pStyle w:val="NormalWeb"/>
        <w:ind w:left="480" w:hanging="480"/>
        <w:divId w:val="602030852"/>
        <w:rPr>
          <w:rFonts w:ascii="Candara" w:hAnsi="Candara"/>
          <w:noProof/>
          <w:lang w:val="en-US"/>
        </w:rPr>
      </w:pPr>
      <w:r w:rsidRPr="005D10C1">
        <w:rPr>
          <w:rFonts w:ascii="Candara" w:hAnsi="Candara"/>
          <w:noProof/>
          <w:lang w:val="en-US"/>
        </w:rPr>
        <w:t xml:space="preserve">Mustar, P., &amp; Wright, M. (2009). Convergence or path dependency in policies to foster the creation of university spin-off firms? A comparison of France and the United Kingdom. </w:t>
      </w:r>
      <w:r w:rsidRPr="005D10C1">
        <w:rPr>
          <w:rFonts w:ascii="Candara" w:hAnsi="Candara"/>
          <w:i/>
          <w:iCs/>
          <w:noProof/>
          <w:lang w:val="en-US"/>
        </w:rPr>
        <w:t>The Journal of Technology Transfer</w:t>
      </w:r>
      <w:r w:rsidRPr="005D10C1">
        <w:rPr>
          <w:rFonts w:ascii="Candara" w:hAnsi="Candara"/>
          <w:noProof/>
          <w:lang w:val="en-US"/>
        </w:rPr>
        <w:t xml:space="preserve">, </w:t>
      </w:r>
      <w:r w:rsidRPr="005D10C1">
        <w:rPr>
          <w:rFonts w:ascii="Candara" w:hAnsi="Candara"/>
          <w:i/>
          <w:iCs/>
          <w:noProof/>
          <w:lang w:val="en-US"/>
        </w:rPr>
        <w:t>35</w:t>
      </w:r>
      <w:r w:rsidRPr="005D10C1">
        <w:rPr>
          <w:rFonts w:ascii="Candara" w:hAnsi="Candara"/>
          <w:noProof/>
          <w:lang w:val="en-US"/>
        </w:rPr>
        <w:t>(1), 42–65. doi:10.1007/s10961-009-9113-7</w:t>
      </w:r>
    </w:p>
    <w:p w14:paraId="7443F32A" w14:textId="77777777" w:rsidR="00CA1A09" w:rsidRPr="005D10C1" w:rsidRDefault="00CA1A09">
      <w:pPr>
        <w:pStyle w:val="NormalWeb"/>
        <w:ind w:left="480" w:hanging="480"/>
        <w:divId w:val="602030852"/>
        <w:rPr>
          <w:rFonts w:ascii="Candara" w:hAnsi="Candara"/>
          <w:noProof/>
          <w:lang w:val="en-US"/>
        </w:rPr>
      </w:pPr>
      <w:r w:rsidRPr="005D10C1">
        <w:rPr>
          <w:rFonts w:ascii="Candara" w:hAnsi="Candara"/>
          <w:noProof/>
          <w:lang w:val="en-US"/>
        </w:rPr>
        <w:t xml:space="preserve">Mustar, P., Wright, M., &amp; Clarysse, B. (2008). University spin-off firms: Lessons from ten years of experience in Europe. </w:t>
      </w:r>
      <w:r w:rsidRPr="005D10C1">
        <w:rPr>
          <w:rFonts w:ascii="Candara" w:hAnsi="Candara"/>
          <w:i/>
          <w:iCs/>
          <w:noProof/>
          <w:lang w:val="en-US"/>
        </w:rPr>
        <w:t>Science and Public Policy</w:t>
      </w:r>
      <w:r w:rsidRPr="005D10C1">
        <w:rPr>
          <w:rFonts w:ascii="Candara" w:hAnsi="Candara"/>
          <w:noProof/>
          <w:lang w:val="en-US"/>
        </w:rPr>
        <w:t xml:space="preserve">, </w:t>
      </w:r>
      <w:r w:rsidRPr="005D10C1">
        <w:rPr>
          <w:rFonts w:ascii="Candara" w:hAnsi="Candara"/>
          <w:i/>
          <w:iCs/>
          <w:noProof/>
          <w:lang w:val="en-US"/>
        </w:rPr>
        <w:t>35</w:t>
      </w:r>
      <w:r w:rsidRPr="005D10C1">
        <w:rPr>
          <w:rFonts w:ascii="Candara" w:hAnsi="Candara"/>
          <w:noProof/>
          <w:lang w:val="en-US"/>
        </w:rPr>
        <w:t>(2), 67–80. Retrieved from http://www.scopus.com/inward/record.url?eid=2-s2.0-42949127769&amp;partnerID=40&amp;md5=3d8fe299adf77e51bab9e7849dc05432</w:t>
      </w:r>
    </w:p>
    <w:p w14:paraId="6DD491DC" w14:textId="77777777" w:rsidR="00CA1A09" w:rsidRPr="005D10C1" w:rsidRDefault="00CA1A09">
      <w:pPr>
        <w:pStyle w:val="NormalWeb"/>
        <w:ind w:left="480" w:hanging="480"/>
        <w:divId w:val="602030852"/>
        <w:rPr>
          <w:rFonts w:ascii="Candara" w:hAnsi="Candara"/>
          <w:noProof/>
          <w:lang w:val="en-US"/>
        </w:rPr>
      </w:pPr>
      <w:r w:rsidRPr="005D10C1">
        <w:rPr>
          <w:rFonts w:ascii="Candara" w:hAnsi="Candara"/>
          <w:noProof/>
          <w:lang w:val="en-US"/>
        </w:rPr>
        <w:t xml:space="preserve">Nicolaou, N., &amp; Birley, S. (2002). Academic networds, exodus and university spinout structure. </w:t>
      </w:r>
      <w:r w:rsidRPr="005D10C1">
        <w:rPr>
          <w:rFonts w:ascii="Candara" w:hAnsi="Candara"/>
          <w:i/>
          <w:iCs/>
          <w:noProof/>
          <w:lang w:val="en-US"/>
        </w:rPr>
        <w:t>Frontiers of Entrepreneurship Research, Babson  …</w:t>
      </w:r>
      <w:r w:rsidRPr="005D10C1">
        <w:rPr>
          <w:rFonts w:ascii="Candara" w:hAnsi="Candara"/>
          <w:noProof/>
          <w:lang w:val="en-US"/>
        </w:rPr>
        <w:t xml:space="preserve">. Retrieved from </w:t>
      </w:r>
      <w:r w:rsidRPr="005D10C1">
        <w:rPr>
          <w:rFonts w:ascii="Candara" w:hAnsi="Candara"/>
          <w:noProof/>
          <w:lang w:val="en-US"/>
        </w:rPr>
        <w:lastRenderedPageBreak/>
        <w:t>http://scholar.google.com.co/scholar?q=“Academic+networds,+exodus+and+university+spinout+structure”+&amp;btnG=&amp;hl=en&amp;as_sdt=0,5#0</w:t>
      </w:r>
    </w:p>
    <w:p w14:paraId="0EEC8BA7" w14:textId="77777777" w:rsidR="00CA1A09" w:rsidRPr="005D10C1" w:rsidRDefault="00CA1A09">
      <w:pPr>
        <w:pStyle w:val="NormalWeb"/>
        <w:ind w:left="480" w:hanging="480"/>
        <w:divId w:val="602030852"/>
        <w:rPr>
          <w:rFonts w:ascii="Candara" w:hAnsi="Candara"/>
          <w:noProof/>
          <w:lang w:val="en-US"/>
        </w:rPr>
      </w:pPr>
      <w:r w:rsidRPr="005D10C1">
        <w:rPr>
          <w:rFonts w:ascii="Candara" w:hAnsi="Candara"/>
          <w:noProof/>
          <w:lang w:val="en-US"/>
        </w:rPr>
        <w:t xml:space="preserve">Nicolaou, N., &amp; Birley, S. (2003). Academic networks in a trichotomous categorisation of university spinouts. </w:t>
      </w:r>
      <w:r w:rsidRPr="005D10C1">
        <w:rPr>
          <w:rFonts w:ascii="Candara" w:hAnsi="Candara"/>
          <w:i/>
          <w:iCs/>
          <w:noProof/>
          <w:lang w:val="en-US"/>
        </w:rPr>
        <w:t>Journal of Business Venturing</w:t>
      </w:r>
      <w:r w:rsidRPr="005D10C1">
        <w:rPr>
          <w:rFonts w:ascii="Candara" w:hAnsi="Candara"/>
          <w:noProof/>
          <w:lang w:val="en-US"/>
        </w:rPr>
        <w:t xml:space="preserve">, </w:t>
      </w:r>
      <w:r w:rsidRPr="005D10C1">
        <w:rPr>
          <w:rFonts w:ascii="Candara" w:hAnsi="Candara"/>
          <w:i/>
          <w:iCs/>
          <w:noProof/>
          <w:lang w:val="en-US"/>
        </w:rPr>
        <w:t>18</w:t>
      </w:r>
      <w:r w:rsidRPr="005D10C1">
        <w:rPr>
          <w:rFonts w:ascii="Candara" w:hAnsi="Candara"/>
          <w:noProof/>
          <w:lang w:val="en-US"/>
        </w:rPr>
        <w:t>(3), 333–359. Retrieved from http://www.sciencedirect.com/science/article/pii/S0883902602001180</w:t>
      </w:r>
    </w:p>
    <w:p w14:paraId="23B63A58" w14:textId="77777777" w:rsidR="00CA1A09" w:rsidRPr="005D10C1" w:rsidRDefault="00CA1A09">
      <w:pPr>
        <w:pStyle w:val="NormalWeb"/>
        <w:ind w:left="480" w:hanging="480"/>
        <w:divId w:val="602030852"/>
        <w:rPr>
          <w:rFonts w:ascii="Candara" w:hAnsi="Candara"/>
          <w:noProof/>
          <w:lang w:val="en-US"/>
        </w:rPr>
      </w:pPr>
      <w:r w:rsidRPr="005D10C1">
        <w:rPr>
          <w:rFonts w:ascii="Candara" w:hAnsi="Candara"/>
          <w:noProof/>
        </w:rPr>
        <w:t xml:space="preserve">Observatorio Colombiano de Ciencia y Tecnología. </w:t>
      </w:r>
      <w:r w:rsidRPr="005D10C1">
        <w:rPr>
          <w:rFonts w:ascii="Candara" w:hAnsi="Candara"/>
          <w:noProof/>
          <w:lang w:val="en-US"/>
        </w:rPr>
        <w:t>(n.d.). Retrieved from http://ocyt.org.co/html/</w:t>
      </w:r>
    </w:p>
    <w:p w14:paraId="20E9100C" w14:textId="77777777" w:rsidR="00CA1A09" w:rsidRPr="00AC592C" w:rsidRDefault="00CA1A09">
      <w:pPr>
        <w:pStyle w:val="NormalWeb"/>
        <w:ind w:left="480" w:hanging="480"/>
        <w:divId w:val="602030852"/>
        <w:rPr>
          <w:rFonts w:ascii="Candara" w:hAnsi="Candara"/>
          <w:noProof/>
        </w:rPr>
      </w:pPr>
      <w:r w:rsidRPr="005D10C1">
        <w:rPr>
          <w:rFonts w:ascii="Candara" w:hAnsi="Candara"/>
          <w:noProof/>
          <w:lang w:val="en-US"/>
        </w:rPr>
        <w:t xml:space="preserve">OECD. (2013). Gross domestic expenditure on R&amp;D - Science and Technology: Key Tables from OECD, No. 1. </w:t>
      </w:r>
      <w:r w:rsidRPr="00AC592C">
        <w:rPr>
          <w:rFonts w:ascii="Candara" w:hAnsi="Candara"/>
          <w:i/>
          <w:iCs/>
          <w:noProof/>
        </w:rPr>
        <w:t>Science and Technology</w:t>
      </w:r>
      <w:r w:rsidRPr="00AC592C">
        <w:rPr>
          <w:rFonts w:ascii="Candara" w:hAnsi="Candara"/>
          <w:noProof/>
        </w:rPr>
        <w:t>. doi:10.1787/2075843x-table1</w:t>
      </w:r>
    </w:p>
    <w:p w14:paraId="28195A2D" w14:textId="77777777" w:rsidR="00CA1A09" w:rsidRPr="005D10C1" w:rsidRDefault="00CA1A09">
      <w:pPr>
        <w:pStyle w:val="NormalWeb"/>
        <w:ind w:left="480" w:hanging="480"/>
        <w:divId w:val="602030852"/>
        <w:rPr>
          <w:rFonts w:ascii="Candara" w:hAnsi="Candara"/>
          <w:noProof/>
          <w:lang w:val="en-US"/>
        </w:rPr>
      </w:pPr>
      <w:r w:rsidRPr="00AC592C">
        <w:rPr>
          <w:rFonts w:ascii="Candara" w:hAnsi="Candara"/>
          <w:noProof/>
        </w:rPr>
        <w:t xml:space="preserve">Oficina de Transferencia de Resultados de Investigación. (n.d.). Transferencia de resultados de investigación. </w:t>
      </w:r>
      <w:r w:rsidRPr="005D10C1">
        <w:rPr>
          <w:rFonts w:ascii="Candara" w:hAnsi="Candara"/>
          <w:noProof/>
          <w:lang w:val="en-US"/>
        </w:rPr>
        <w:t>Retrieved from http://gicuv.univalle.edu.co/01_Procesos_y_Formatos/_/documentos/FORMATOS_VICEINV/FORMATOS MP-06-03-01/MP-06-03-01.pdf</w:t>
      </w:r>
    </w:p>
    <w:p w14:paraId="6FA54491" w14:textId="77777777" w:rsidR="00CA1A09" w:rsidRPr="005D10C1" w:rsidRDefault="00CA1A09">
      <w:pPr>
        <w:pStyle w:val="NormalWeb"/>
        <w:ind w:left="480" w:hanging="480"/>
        <w:divId w:val="602030852"/>
        <w:rPr>
          <w:rFonts w:ascii="Candara" w:hAnsi="Candara"/>
          <w:noProof/>
        </w:rPr>
      </w:pPr>
      <w:r w:rsidRPr="005D10C1">
        <w:rPr>
          <w:rFonts w:ascii="Candara" w:hAnsi="Candara"/>
          <w:noProof/>
        </w:rPr>
        <w:t xml:space="preserve">Ondategui, J. C. (2002). Parques científicos e innovación en España: quince años de experiencia. </w:t>
      </w:r>
      <w:r w:rsidRPr="005D10C1">
        <w:rPr>
          <w:rFonts w:ascii="Candara" w:hAnsi="Candara"/>
          <w:i/>
          <w:iCs/>
          <w:noProof/>
        </w:rPr>
        <w:t>Economía industrial</w:t>
      </w:r>
      <w:r w:rsidRPr="005D10C1">
        <w:rPr>
          <w:rFonts w:ascii="Candara" w:hAnsi="Candara"/>
          <w:noProof/>
        </w:rPr>
        <w:t>. Ministerio de Industria, Energía y Turismo. Retrieved from http://dialnet.unirioja.es/servlet/articulo?codigo=716725&amp;info=resumen&amp;idioma=SPA</w:t>
      </w:r>
    </w:p>
    <w:p w14:paraId="32444ECF" w14:textId="77777777" w:rsidR="00CA1A09" w:rsidRPr="005D10C1" w:rsidRDefault="00CA1A09">
      <w:pPr>
        <w:pStyle w:val="NormalWeb"/>
        <w:ind w:left="480" w:hanging="480"/>
        <w:divId w:val="602030852"/>
        <w:rPr>
          <w:rFonts w:ascii="Candara" w:hAnsi="Candara"/>
          <w:noProof/>
          <w:lang w:val="en-US"/>
        </w:rPr>
      </w:pPr>
      <w:r w:rsidRPr="005D10C1">
        <w:rPr>
          <w:rFonts w:ascii="Candara" w:hAnsi="Candara"/>
          <w:noProof/>
          <w:lang w:val="fr-FR"/>
        </w:rPr>
        <w:t xml:space="preserve">Organisation du système de recherche et d’innovation. </w:t>
      </w:r>
      <w:r w:rsidRPr="005D10C1">
        <w:rPr>
          <w:rFonts w:ascii="Candara" w:hAnsi="Candara"/>
          <w:noProof/>
          <w:lang w:val="en-US"/>
        </w:rPr>
        <w:t>(2011). Retrieved September 26, 2013, from http://www.enseignementsup-recherche.gouv.fr/cid56382/organisation-du-systeme-de-recherche-et-d-innovation.html</w:t>
      </w:r>
    </w:p>
    <w:p w14:paraId="019036D7" w14:textId="77777777" w:rsidR="00CA1A09" w:rsidRPr="005D10C1" w:rsidRDefault="00CA1A09">
      <w:pPr>
        <w:pStyle w:val="NormalWeb"/>
        <w:ind w:left="480" w:hanging="480"/>
        <w:divId w:val="602030852"/>
        <w:rPr>
          <w:rFonts w:ascii="Candara" w:hAnsi="Candara"/>
          <w:noProof/>
          <w:lang w:val="en-US"/>
        </w:rPr>
      </w:pPr>
      <w:r w:rsidRPr="005D10C1">
        <w:rPr>
          <w:rFonts w:ascii="Candara" w:hAnsi="Candara"/>
          <w:noProof/>
        </w:rPr>
        <w:t xml:space="preserve">Ortín, P., Salas, V., Trujillo, M., &amp; Vendrell, F. (2007). </w:t>
      </w:r>
      <w:r w:rsidRPr="005D10C1">
        <w:rPr>
          <w:rFonts w:ascii="Candara" w:hAnsi="Candara"/>
          <w:i/>
          <w:iCs/>
          <w:noProof/>
        </w:rPr>
        <w:t>El spin-off universitario en España como modelo de creación de empresas</w:t>
      </w:r>
      <w:r w:rsidRPr="005D10C1">
        <w:rPr>
          <w:rFonts w:ascii="Candara" w:hAnsi="Candara"/>
          <w:noProof/>
        </w:rPr>
        <w:t xml:space="preserve"> (pp. 1–107). </w:t>
      </w:r>
      <w:r w:rsidRPr="005D10C1">
        <w:rPr>
          <w:rFonts w:ascii="Candara" w:hAnsi="Candara"/>
          <w:noProof/>
          <w:lang w:val="en-US"/>
        </w:rPr>
        <w:t>Retrieved from http://www.ipyme.org/Publicaciones/Informe spinnoff.pdf</w:t>
      </w:r>
    </w:p>
    <w:p w14:paraId="14948F34" w14:textId="77777777" w:rsidR="00CA1A09" w:rsidRPr="005D10C1" w:rsidRDefault="00CA1A09">
      <w:pPr>
        <w:pStyle w:val="NormalWeb"/>
        <w:ind w:left="480" w:hanging="480"/>
        <w:divId w:val="602030852"/>
        <w:rPr>
          <w:rFonts w:ascii="Candara" w:hAnsi="Candara"/>
          <w:noProof/>
        </w:rPr>
      </w:pPr>
      <w:r w:rsidRPr="005D10C1">
        <w:rPr>
          <w:rFonts w:ascii="Candara" w:hAnsi="Candara"/>
          <w:noProof/>
          <w:lang w:val="en-US"/>
        </w:rPr>
        <w:t xml:space="preserve">Ospina, N. (2012). </w:t>
      </w:r>
      <w:r w:rsidRPr="005D10C1">
        <w:rPr>
          <w:rFonts w:ascii="Candara" w:hAnsi="Candara"/>
          <w:i/>
          <w:iCs/>
          <w:noProof/>
        </w:rPr>
        <w:t>Éxitos y fracasos en las spin-off académicas</w:t>
      </w:r>
      <w:r w:rsidRPr="005D10C1">
        <w:rPr>
          <w:rFonts w:ascii="Candara" w:hAnsi="Candara"/>
          <w:noProof/>
        </w:rPr>
        <w:t>. Universidad Nacional de Colombia.</w:t>
      </w:r>
    </w:p>
    <w:p w14:paraId="2246811B" w14:textId="77777777" w:rsidR="00CA1A09" w:rsidRPr="005D10C1" w:rsidRDefault="00CA1A09">
      <w:pPr>
        <w:pStyle w:val="NormalWeb"/>
        <w:ind w:left="480" w:hanging="480"/>
        <w:divId w:val="602030852"/>
        <w:rPr>
          <w:rFonts w:ascii="Candara" w:hAnsi="Candara"/>
          <w:noProof/>
        </w:rPr>
      </w:pPr>
      <w:r w:rsidRPr="005D10C1">
        <w:rPr>
          <w:rFonts w:ascii="Candara" w:hAnsi="Candara"/>
          <w:noProof/>
        </w:rPr>
        <w:t>Peng, X. (2006). Opportunity or challenge</w:t>
      </w:r>
      <w:r w:rsidRPr="005D10C1">
        <w:rPr>
          <w:rFonts w:ascii="Arial" w:hAnsi="Arial" w:cs="Arial"/>
          <w:noProof/>
        </w:rPr>
        <w:t> </w:t>
      </w:r>
      <w:r w:rsidRPr="005D10C1">
        <w:rPr>
          <w:rFonts w:ascii="Candara" w:hAnsi="Candara"/>
          <w:noProof/>
        </w:rPr>
        <w:t xml:space="preserve">? </w:t>
      </w:r>
      <w:r w:rsidRPr="005D10C1">
        <w:rPr>
          <w:rFonts w:ascii="Candara" w:hAnsi="Candara"/>
          <w:i/>
          <w:iCs/>
          <w:noProof/>
        </w:rPr>
        <w:t>Nature Materials</w:t>
      </w:r>
      <w:r w:rsidRPr="005D10C1">
        <w:rPr>
          <w:rFonts w:ascii="Candara" w:hAnsi="Candara"/>
          <w:noProof/>
        </w:rPr>
        <w:t xml:space="preserve">, </w:t>
      </w:r>
      <w:r w:rsidRPr="005D10C1">
        <w:rPr>
          <w:rFonts w:ascii="Candara" w:hAnsi="Candara"/>
          <w:i/>
          <w:iCs/>
          <w:noProof/>
        </w:rPr>
        <w:t>5</w:t>
      </w:r>
      <w:r w:rsidRPr="005D10C1">
        <w:rPr>
          <w:rFonts w:ascii="Candara" w:hAnsi="Candara"/>
          <w:noProof/>
        </w:rPr>
        <w:t>(December), 923–926.</w:t>
      </w:r>
    </w:p>
    <w:p w14:paraId="05D3A52B" w14:textId="77777777" w:rsidR="00CA1A09" w:rsidRPr="00AC592C" w:rsidRDefault="00CA1A09">
      <w:pPr>
        <w:pStyle w:val="NormalWeb"/>
        <w:ind w:left="480" w:hanging="480"/>
        <w:divId w:val="602030852"/>
        <w:rPr>
          <w:rFonts w:ascii="Candara" w:hAnsi="Candara"/>
          <w:noProof/>
        </w:rPr>
      </w:pPr>
      <w:r w:rsidRPr="005D10C1">
        <w:rPr>
          <w:rFonts w:ascii="Candara" w:hAnsi="Candara"/>
          <w:noProof/>
        </w:rPr>
        <w:t xml:space="preserve">Pinto, L. (2012). </w:t>
      </w:r>
      <w:r w:rsidRPr="005D10C1">
        <w:rPr>
          <w:rFonts w:ascii="Candara" w:hAnsi="Candara"/>
          <w:i/>
          <w:iCs/>
          <w:noProof/>
        </w:rPr>
        <w:t>Estado del arte sobre la creación y gestión de spin-off universitarias</w:t>
      </w:r>
      <w:r w:rsidRPr="005D10C1">
        <w:rPr>
          <w:rFonts w:ascii="Candara" w:hAnsi="Candara"/>
          <w:noProof/>
        </w:rPr>
        <w:t xml:space="preserve">. </w:t>
      </w:r>
      <w:r w:rsidRPr="00AC592C">
        <w:rPr>
          <w:rFonts w:ascii="Candara" w:hAnsi="Candara"/>
          <w:noProof/>
        </w:rPr>
        <w:t>Universidad Industrial de Santander.</w:t>
      </w:r>
    </w:p>
    <w:p w14:paraId="23740EDE" w14:textId="77777777" w:rsidR="00CA1A09" w:rsidRPr="005D10C1" w:rsidRDefault="00CA1A09">
      <w:pPr>
        <w:pStyle w:val="NormalWeb"/>
        <w:ind w:left="480" w:hanging="480"/>
        <w:divId w:val="602030852"/>
        <w:rPr>
          <w:rFonts w:ascii="Candara" w:hAnsi="Candara"/>
          <w:noProof/>
          <w:lang w:val="en-US"/>
        </w:rPr>
      </w:pPr>
      <w:r w:rsidRPr="00AC592C">
        <w:rPr>
          <w:rFonts w:ascii="Candara" w:hAnsi="Candara"/>
          <w:noProof/>
        </w:rPr>
        <w:lastRenderedPageBreak/>
        <w:t xml:space="preserve">Pirnay, F., Surlemont, B., &amp; NIemvo, F. (2003). </w:t>
      </w:r>
      <w:r w:rsidRPr="005D10C1">
        <w:rPr>
          <w:rFonts w:ascii="Candara" w:hAnsi="Candara"/>
          <w:noProof/>
          <w:lang w:val="en-US"/>
        </w:rPr>
        <w:t xml:space="preserve">Toward a typology of university spin-offs. </w:t>
      </w:r>
      <w:r w:rsidRPr="005D10C1">
        <w:rPr>
          <w:rFonts w:ascii="Candara" w:hAnsi="Candara"/>
          <w:i/>
          <w:iCs/>
          <w:noProof/>
          <w:lang w:val="en-US"/>
        </w:rPr>
        <w:t>Small Business Economics</w:t>
      </w:r>
      <w:r w:rsidRPr="005D10C1">
        <w:rPr>
          <w:rFonts w:ascii="Candara" w:hAnsi="Candara"/>
          <w:noProof/>
          <w:lang w:val="en-US"/>
        </w:rPr>
        <w:t>, (21), 355–369. Retrieved from http://link.springer.com/article/10.1023/A:1026167105153</w:t>
      </w:r>
    </w:p>
    <w:p w14:paraId="366B2B3C" w14:textId="77777777" w:rsidR="00CA1A09" w:rsidRPr="005D10C1" w:rsidRDefault="00CA1A09">
      <w:pPr>
        <w:pStyle w:val="NormalWeb"/>
        <w:ind w:left="480" w:hanging="480"/>
        <w:divId w:val="602030852"/>
        <w:rPr>
          <w:rFonts w:ascii="Candara" w:hAnsi="Candara"/>
          <w:noProof/>
        </w:rPr>
      </w:pPr>
      <w:r w:rsidRPr="005D10C1">
        <w:rPr>
          <w:rFonts w:ascii="Candara" w:hAnsi="Candara"/>
          <w:noProof/>
        </w:rPr>
        <w:t>Plan de Desarrollo Institucional 2006 - 2016. (2006). Retrieved October 23, 2012, from http://www.udea.edu.co/portal/page/portal/BibliotecaPortal/ElementosDiseno/Documentos/General/plan_dllo.pdf</w:t>
      </w:r>
    </w:p>
    <w:p w14:paraId="4866710E" w14:textId="77777777" w:rsidR="00CA1A09" w:rsidRPr="005D10C1" w:rsidRDefault="00CA1A09">
      <w:pPr>
        <w:pStyle w:val="NormalWeb"/>
        <w:ind w:left="480" w:hanging="480"/>
        <w:divId w:val="602030852"/>
        <w:rPr>
          <w:rFonts w:ascii="Candara" w:hAnsi="Candara"/>
          <w:noProof/>
          <w:lang w:val="en-US"/>
        </w:rPr>
      </w:pPr>
      <w:r w:rsidRPr="005D10C1">
        <w:rPr>
          <w:rFonts w:ascii="Candara" w:hAnsi="Candara"/>
          <w:noProof/>
        </w:rPr>
        <w:t xml:space="preserve">Plan estatal de investigación científica, técnica y de innovación 2013-2016. </w:t>
      </w:r>
      <w:r w:rsidRPr="005D10C1">
        <w:rPr>
          <w:rFonts w:ascii="Candara" w:hAnsi="Candara"/>
          <w:noProof/>
          <w:lang w:val="en-US"/>
        </w:rPr>
        <w:t>(2013a). Retrieved from http://www.idi.mineco.gob.es/portal/site/MICINN/menuitem.7eeac5cd345b4f34f09dfd1001432ea0/?vgnextoid=83b192b9036c2210VgnVCM1000001d04140aRCRD</w:t>
      </w:r>
    </w:p>
    <w:p w14:paraId="1D0BF690" w14:textId="77777777" w:rsidR="00CA1A09" w:rsidRPr="005D10C1" w:rsidRDefault="00CA1A09">
      <w:pPr>
        <w:pStyle w:val="NormalWeb"/>
        <w:ind w:left="480" w:hanging="480"/>
        <w:divId w:val="602030852"/>
        <w:rPr>
          <w:rFonts w:ascii="Candara" w:hAnsi="Candara"/>
          <w:noProof/>
          <w:lang w:val="fr-FR"/>
        </w:rPr>
      </w:pPr>
      <w:r w:rsidRPr="005D10C1">
        <w:rPr>
          <w:rFonts w:ascii="Candara" w:hAnsi="Candara"/>
          <w:noProof/>
        </w:rPr>
        <w:t xml:space="preserve">Plan estatal de investigación científica, técnica y de innovación 2013-2016. </w:t>
      </w:r>
      <w:r w:rsidRPr="005D10C1">
        <w:rPr>
          <w:rFonts w:ascii="Candara" w:hAnsi="Candara"/>
          <w:noProof/>
          <w:lang w:val="fr-FR"/>
        </w:rPr>
        <w:t>(2013b).</w:t>
      </w:r>
    </w:p>
    <w:p w14:paraId="6EFEA8EF" w14:textId="77777777" w:rsidR="00CA1A09" w:rsidRPr="005D10C1" w:rsidRDefault="00CA1A09">
      <w:pPr>
        <w:pStyle w:val="NormalWeb"/>
        <w:ind w:left="480" w:hanging="480"/>
        <w:divId w:val="602030852"/>
        <w:rPr>
          <w:rFonts w:ascii="Candara" w:hAnsi="Candara"/>
          <w:noProof/>
          <w:lang w:val="fr-FR"/>
        </w:rPr>
      </w:pPr>
      <w:r w:rsidRPr="005D10C1">
        <w:rPr>
          <w:rFonts w:ascii="Candara" w:hAnsi="Candara"/>
          <w:noProof/>
          <w:lang w:val="fr-FR"/>
        </w:rPr>
        <w:t>Presidencia de la República. (2010). Decreto 2610 de 2010.</w:t>
      </w:r>
    </w:p>
    <w:p w14:paraId="3AA3C2A0" w14:textId="77777777" w:rsidR="00CA1A09" w:rsidRPr="005D10C1" w:rsidRDefault="00CA1A09">
      <w:pPr>
        <w:pStyle w:val="NormalWeb"/>
        <w:ind w:left="480" w:hanging="480"/>
        <w:divId w:val="602030852"/>
        <w:rPr>
          <w:rFonts w:ascii="Candara" w:hAnsi="Candara"/>
          <w:noProof/>
          <w:lang w:val="fr-FR"/>
        </w:rPr>
      </w:pPr>
      <w:r w:rsidRPr="005D10C1">
        <w:rPr>
          <w:rFonts w:ascii="Candara" w:hAnsi="Candara"/>
          <w:noProof/>
          <w:lang w:val="fr-FR"/>
        </w:rPr>
        <w:t>Qui oriente et définit la politique de recherche? (2011). Retrieved September 26, 2013, from http://www.enseignementsup-recherche.gouv.fr/cid56384/qui-oriente-et-definit-la-politique-de-recherche.html</w:t>
      </w:r>
    </w:p>
    <w:p w14:paraId="376E39E2" w14:textId="77777777" w:rsidR="00CA1A09" w:rsidRPr="005D10C1" w:rsidRDefault="00CA1A09">
      <w:pPr>
        <w:pStyle w:val="NormalWeb"/>
        <w:ind w:left="480" w:hanging="480"/>
        <w:divId w:val="602030852"/>
        <w:rPr>
          <w:rFonts w:ascii="Candara" w:hAnsi="Candara"/>
          <w:noProof/>
          <w:lang w:val="en-US"/>
        </w:rPr>
      </w:pPr>
      <w:r w:rsidRPr="005D10C1">
        <w:rPr>
          <w:rFonts w:ascii="Candara" w:hAnsi="Candara"/>
          <w:noProof/>
          <w:lang w:val="en-US"/>
        </w:rPr>
        <w:t xml:space="preserve">Raday, G. (2008). Academic Spin-off Ventures and Corporate Spin-off Firms at the High-Tech Industries. </w:t>
      </w:r>
      <w:r w:rsidRPr="005D10C1">
        <w:rPr>
          <w:rFonts w:ascii="Candara" w:hAnsi="Candara"/>
          <w:i/>
          <w:iCs/>
          <w:noProof/>
          <w:lang w:val="en-US"/>
        </w:rPr>
        <w:t>Quantitative Finance</w:t>
      </w:r>
      <w:r w:rsidRPr="005D10C1">
        <w:rPr>
          <w:rFonts w:ascii="Candara" w:hAnsi="Candara"/>
          <w:noProof/>
          <w:lang w:val="en-US"/>
        </w:rPr>
        <w:t>.</w:t>
      </w:r>
    </w:p>
    <w:p w14:paraId="1AAF7110" w14:textId="77777777" w:rsidR="00CA1A09" w:rsidRPr="005D10C1" w:rsidRDefault="00CA1A09">
      <w:pPr>
        <w:pStyle w:val="NormalWeb"/>
        <w:ind w:left="480" w:hanging="480"/>
        <w:divId w:val="602030852"/>
        <w:rPr>
          <w:rFonts w:ascii="Candara" w:hAnsi="Candara"/>
          <w:noProof/>
          <w:lang w:val="en-US"/>
        </w:rPr>
      </w:pPr>
      <w:r w:rsidRPr="005D10C1">
        <w:rPr>
          <w:rFonts w:ascii="Candara" w:hAnsi="Candara"/>
          <w:noProof/>
          <w:lang w:val="en-US"/>
        </w:rPr>
        <w:t xml:space="preserve">Rasmussen, E., Mosey, S., &amp; Wright, M. (2011). The Evolution of Entrepreneurial Competencies: A Longitudinal Study of University Spin-Off Venture Emergence. </w:t>
      </w:r>
      <w:r w:rsidRPr="005D10C1">
        <w:rPr>
          <w:rFonts w:ascii="Candara" w:hAnsi="Candara"/>
          <w:i/>
          <w:iCs/>
          <w:noProof/>
          <w:lang w:val="en-US"/>
        </w:rPr>
        <w:t>Journal of Management Studies</w:t>
      </w:r>
      <w:r w:rsidRPr="005D10C1">
        <w:rPr>
          <w:rFonts w:ascii="Candara" w:hAnsi="Candara"/>
          <w:noProof/>
          <w:lang w:val="en-US"/>
        </w:rPr>
        <w:t xml:space="preserve">, </w:t>
      </w:r>
      <w:r w:rsidRPr="005D10C1">
        <w:rPr>
          <w:rFonts w:ascii="Candara" w:hAnsi="Candara"/>
          <w:i/>
          <w:iCs/>
          <w:noProof/>
          <w:lang w:val="en-US"/>
        </w:rPr>
        <w:t>48</w:t>
      </w:r>
      <w:r w:rsidRPr="005D10C1">
        <w:rPr>
          <w:rFonts w:ascii="Candara" w:hAnsi="Candara"/>
          <w:noProof/>
          <w:lang w:val="en-US"/>
        </w:rPr>
        <w:t>(6), 1314–1345. doi:10.1111/j.1467-6486.2010.00995.x</w:t>
      </w:r>
    </w:p>
    <w:p w14:paraId="5791441C" w14:textId="77777777" w:rsidR="00CA1A09" w:rsidRPr="005D10C1" w:rsidRDefault="00CA1A09">
      <w:pPr>
        <w:pStyle w:val="NormalWeb"/>
        <w:ind w:left="480" w:hanging="480"/>
        <w:divId w:val="602030852"/>
        <w:rPr>
          <w:rFonts w:ascii="Candara" w:hAnsi="Candara"/>
          <w:noProof/>
          <w:lang w:val="en-US"/>
        </w:rPr>
      </w:pPr>
      <w:r w:rsidRPr="005D10C1">
        <w:rPr>
          <w:rFonts w:ascii="Candara" w:hAnsi="Candara"/>
          <w:noProof/>
          <w:lang w:val="en-US"/>
        </w:rPr>
        <w:t xml:space="preserve">RedOtri. (2011). </w:t>
      </w:r>
      <w:r w:rsidRPr="005D10C1">
        <w:rPr>
          <w:rFonts w:ascii="Candara" w:hAnsi="Candara"/>
          <w:i/>
          <w:iCs/>
          <w:noProof/>
          <w:lang w:val="en-US"/>
        </w:rPr>
        <w:t>Memoria RedOTRI 2011</w:t>
      </w:r>
      <w:r w:rsidRPr="005D10C1">
        <w:rPr>
          <w:rFonts w:ascii="Candara" w:hAnsi="Candara"/>
          <w:noProof/>
          <w:lang w:val="en-US"/>
        </w:rPr>
        <w:t xml:space="preserve"> (p. 30).</w:t>
      </w:r>
    </w:p>
    <w:p w14:paraId="7AEEC314" w14:textId="77777777" w:rsidR="00CA1A09" w:rsidRPr="005D10C1" w:rsidRDefault="00CA1A09">
      <w:pPr>
        <w:pStyle w:val="NormalWeb"/>
        <w:ind w:left="480" w:hanging="480"/>
        <w:divId w:val="602030852"/>
        <w:rPr>
          <w:rFonts w:ascii="Candara" w:hAnsi="Candara"/>
          <w:noProof/>
        </w:rPr>
      </w:pPr>
      <w:r w:rsidRPr="005D10C1">
        <w:rPr>
          <w:rFonts w:ascii="Candara" w:hAnsi="Candara"/>
          <w:noProof/>
        </w:rPr>
        <w:t>Resolución Superior 1609. (2010). Retrieved October 23, 2012, from http://secretariageneral.udea.edu.co/doc/r1609-2010.pdf</w:t>
      </w:r>
    </w:p>
    <w:p w14:paraId="34BEDF76" w14:textId="77777777" w:rsidR="00CA1A09" w:rsidRPr="005D10C1" w:rsidRDefault="00CA1A09">
      <w:pPr>
        <w:pStyle w:val="NormalWeb"/>
        <w:ind w:left="480" w:hanging="480"/>
        <w:divId w:val="602030852"/>
        <w:rPr>
          <w:rFonts w:ascii="Candara" w:hAnsi="Candara"/>
          <w:noProof/>
          <w:lang w:val="en-US"/>
        </w:rPr>
      </w:pPr>
      <w:r w:rsidRPr="005D10C1">
        <w:rPr>
          <w:rFonts w:ascii="Candara" w:hAnsi="Candara"/>
          <w:noProof/>
        </w:rPr>
        <w:t xml:space="preserve">Robledo, J. (2013). </w:t>
      </w:r>
      <w:r w:rsidRPr="005D10C1">
        <w:rPr>
          <w:rFonts w:ascii="Candara" w:hAnsi="Candara"/>
          <w:i/>
          <w:iCs/>
          <w:noProof/>
        </w:rPr>
        <w:t>Introducción a la Gestión de la Tecnología y la Innovación</w:t>
      </w:r>
      <w:r w:rsidRPr="005D10C1">
        <w:rPr>
          <w:rFonts w:ascii="Candara" w:hAnsi="Candara"/>
          <w:noProof/>
        </w:rPr>
        <w:t xml:space="preserve"> (p. 219). </w:t>
      </w:r>
      <w:r w:rsidRPr="005D10C1">
        <w:rPr>
          <w:rFonts w:ascii="Candara" w:hAnsi="Candara"/>
          <w:noProof/>
          <w:lang w:val="en-US"/>
        </w:rPr>
        <w:t>Retrieved from http://intranet.minas.medellin.unal.edu.co/index.php?option=com_content&amp;task=view&amp;id=991&amp;Itemid=1</w:t>
      </w:r>
    </w:p>
    <w:p w14:paraId="198F7BD3" w14:textId="77777777" w:rsidR="00CA1A09" w:rsidRPr="005D10C1" w:rsidRDefault="00CA1A09">
      <w:pPr>
        <w:pStyle w:val="NormalWeb"/>
        <w:ind w:left="480" w:hanging="480"/>
        <w:divId w:val="602030852"/>
        <w:rPr>
          <w:rFonts w:ascii="Candara" w:hAnsi="Candara"/>
          <w:noProof/>
        </w:rPr>
      </w:pPr>
      <w:r w:rsidRPr="005D10C1">
        <w:rPr>
          <w:rFonts w:ascii="Candara" w:hAnsi="Candara"/>
          <w:noProof/>
          <w:lang w:val="pt-BR"/>
        </w:rPr>
        <w:lastRenderedPageBreak/>
        <w:t xml:space="preserve">Rodeiro, D., Sara, P., López, F., Otero, L., Alfonso, G., &amp; Sandiás, R. (2010). </w:t>
      </w:r>
      <w:r w:rsidRPr="005D10C1">
        <w:rPr>
          <w:rFonts w:ascii="Candara" w:hAnsi="Candara"/>
          <w:noProof/>
        </w:rPr>
        <w:t xml:space="preserve">Factores determinantes de la creación de spin-offs universitarias. </w:t>
      </w:r>
      <w:r w:rsidRPr="005D10C1">
        <w:rPr>
          <w:rFonts w:ascii="Candara" w:hAnsi="Candara"/>
          <w:i/>
          <w:iCs/>
          <w:noProof/>
        </w:rPr>
        <w:t>Revista Europea de Dirección y Economía de la Empresa</w:t>
      </w:r>
      <w:r w:rsidRPr="005D10C1">
        <w:rPr>
          <w:rFonts w:ascii="Candara" w:hAnsi="Candara"/>
          <w:noProof/>
        </w:rPr>
        <w:t xml:space="preserve">, </w:t>
      </w:r>
      <w:r w:rsidRPr="005D10C1">
        <w:rPr>
          <w:rFonts w:ascii="Candara" w:hAnsi="Candara"/>
          <w:i/>
          <w:iCs/>
          <w:noProof/>
        </w:rPr>
        <w:t>19</w:t>
      </w:r>
      <w:r w:rsidRPr="005D10C1">
        <w:rPr>
          <w:rFonts w:ascii="Candara" w:hAnsi="Candara"/>
          <w:noProof/>
        </w:rPr>
        <w:t>(1), 47–68.</w:t>
      </w:r>
    </w:p>
    <w:p w14:paraId="308E0BD8" w14:textId="77777777" w:rsidR="00CA1A09" w:rsidRPr="005D10C1" w:rsidRDefault="00CA1A09">
      <w:pPr>
        <w:pStyle w:val="NormalWeb"/>
        <w:ind w:left="480" w:hanging="480"/>
        <w:divId w:val="602030852"/>
        <w:rPr>
          <w:rFonts w:ascii="Candara" w:hAnsi="Candara"/>
          <w:noProof/>
          <w:lang w:val="en-US"/>
        </w:rPr>
      </w:pPr>
      <w:r w:rsidRPr="005D10C1">
        <w:rPr>
          <w:rFonts w:ascii="Candara" w:hAnsi="Candara"/>
          <w:noProof/>
          <w:lang w:val="en-US"/>
        </w:rPr>
        <w:t>SBIR. (2013). Retrieved September 20, 2013, from http://www.sbir.gov/about/about-sbir</w:t>
      </w:r>
    </w:p>
    <w:p w14:paraId="54692E2A" w14:textId="77777777" w:rsidR="00CA1A09" w:rsidRPr="005D10C1" w:rsidRDefault="00CA1A09">
      <w:pPr>
        <w:pStyle w:val="NormalWeb"/>
        <w:ind w:left="480" w:hanging="480"/>
        <w:divId w:val="602030852"/>
        <w:rPr>
          <w:rFonts w:ascii="Candara" w:hAnsi="Candara"/>
          <w:noProof/>
          <w:lang w:val="en-US"/>
        </w:rPr>
      </w:pPr>
      <w:r w:rsidRPr="005D10C1">
        <w:rPr>
          <w:rFonts w:ascii="Candara" w:hAnsi="Candara"/>
          <w:noProof/>
          <w:lang w:val="en-US"/>
        </w:rPr>
        <w:t xml:space="preserve">Searle, C. (2006). Academic Capitalism and University Incentives for Faculty Entrepreneurship. </w:t>
      </w:r>
      <w:r w:rsidRPr="005D10C1">
        <w:rPr>
          <w:rFonts w:ascii="Candara" w:hAnsi="Candara"/>
          <w:i/>
          <w:iCs/>
          <w:noProof/>
          <w:lang w:val="en-US"/>
        </w:rPr>
        <w:t>The Journal of Technology Transfer</w:t>
      </w:r>
      <w:r w:rsidRPr="005D10C1">
        <w:rPr>
          <w:rFonts w:ascii="Candara" w:hAnsi="Candara"/>
          <w:noProof/>
          <w:lang w:val="en-US"/>
        </w:rPr>
        <w:t xml:space="preserve">, </w:t>
      </w:r>
      <w:r w:rsidRPr="005D10C1">
        <w:rPr>
          <w:rFonts w:ascii="Candara" w:hAnsi="Candara"/>
          <w:i/>
          <w:iCs/>
          <w:noProof/>
          <w:lang w:val="en-US"/>
        </w:rPr>
        <w:t>31</w:t>
      </w:r>
      <w:r w:rsidRPr="005D10C1">
        <w:rPr>
          <w:rFonts w:ascii="Candara" w:hAnsi="Candara"/>
          <w:noProof/>
          <w:lang w:val="en-US"/>
        </w:rPr>
        <w:t>(2), 227–239. doi:10.1007/s10961-005-6108-x</w:t>
      </w:r>
    </w:p>
    <w:p w14:paraId="621CF326" w14:textId="77777777" w:rsidR="00CA1A09" w:rsidRPr="005D10C1" w:rsidRDefault="00CA1A09">
      <w:pPr>
        <w:pStyle w:val="NormalWeb"/>
        <w:ind w:left="480" w:hanging="480"/>
        <w:divId w:val="602030852"/>
        <w:rPr>
          <w:rFonts w:ascii="Candara" w:hAnsi="Candara"/>
          <w:noProof/>
          <w:lang w:val="en-US"/>
        </w:rPr>
      </w:pPr>
      <w:r w:rsidRPr="005D10C1">
        <w:rPr>
          <w:rFonts w:ascii="Candara" w:hAnsi="Candara"/>
          <w:noProof/>
          <w:lang w:val="en-US"/>
        </w:rPr>
        <w:t xml:space="preserve">Shane, S. A. (2004). </w:t>
      </w:r>
      <w:r w:rsidRPr="005D10C1">
        <w:rPr>
          <w:rFonts w:ascii="Candara" w:hAnsi="Candara"/>
          <w:i/>
          <w:iCs/>
          <w:noProof/>
          <w:lang w:val="en-US"/>
        </w:rPr>
        <w:t>Academic entrepreneurship: University spinoffs and wealth creation</w:t>
      </w:r>
      <w:r w:rsidRPr="005D10C1">
        <w:rPr>
          <w:rFonts w:ascii="Candara" w:hAnsi="Candara"/>
          <w:noProof/>
          <w:lang w:val="en-US"/>
        </w:rPr>
        <w:t xml:space="preserve"> (p. 335). Cheltenham: Edward Elgar Publishing Limited. Retrieved from http://books.google.com/books?hl=es&amp;amp;lr=&amp;amp;id=yB_SiqnczbQC&amp;amp;oi=fnd&amp;amp;pg=PR9&amp;amp;dq=shane+academic+entrepreneur&amp;amp;ots=yiLDO0EEpK&amp;amp;sig=FTxqKqJiwB71PcYuzklTQm271ms</w:t>
      </w:r>
    </w:p>
    <w:p w14:paraId="0BA8D63E" w14:textId="77777777" w:rsidR="00CA1A09" w:rsidRPr="005D10C1" w:rsidRDefault="00CA1A09">
      <w:pPr>
        <w:pStyle w:val="NormalWeb"/>
        <w:ind w:left="480" w:hanging="480"/>
        <w:divId w:val="602030852"/>
        <w:rPr>
          <w:rFonts w:ascii="Candara" w:hAnsi="Candara"/>
          <w:noProof/>
          <w:lang w:val="en-US"/>
        </w:rPr>
      </w:pPr>
      <w:r w:rsidRPr="005D10C1">
        <w:rPr>
          <w:rFonts w:ascii="Candara" w:hAnsi="Candara"/>
          <w:noProof/>
          <w:lang w:val="en-US"/>
        </w:rPr>
        <w:t xml:space="preserve">Shapira, P., &amp; Youtie, J. (2010). The Innovation System and Innovation Policy in the United States. In M. Rainer (Ed.), </w:t>
      </w:r>
      <w:r w:rsidRPr="005D10C1">
        <w:rPr>
          <w:rFonts w:ascii="Candara" w:hAnsi="Candara"/>
          <w:i/>
          <w:iCs/>
          <w:noProof/>
          <w:lang w:val="en-US"/>
        </w:rPr>
        <w:t>Competing for Global Innovation Leadership: Innovation Systems and Policies in the USA, EU and Asia</w:t>
      </w:r>
      <w:r w:rsidRPr="005D10C1">
        <w:rPr>
          <w:rFonts w:ascii="Candara" w:hAnsi="Candara"/>
          <w:noProof/>
          <w:lang w:val="en-US"/>
        </w:rPr>
        <w:t xml:space="preserve"> (pp. 5–29). Retrieved from http://www.isi.fraunhofer.de/isi-de/p/publikationen/flyer/competing_for_global_innovations_leadership.php?</w:t>
      </w:r>
    </w:p>
    <w:p w14:paraId="672FCF67" w14:textId="77777777" w:rsidR="00CA1A09" w:rsidRPr="005D10C1" w:rsidRDefault="00CA1A09">
      <w:pPr>
        <w:pStyle w:val="NormalWeb"/>
        <w:ind w:left="480" w:hanging="480"/>
        <w:divId w:val="602030852"/>
        <w:rPr>
          <w:rFonts w:ascii="Candara" w:hAnsi="Candara"/>
          <w:noProof/>
          <w:lang w:val="en-US"/>
        </w:rPr>
      </w:pPr>
      <w:r w:rsidRPr="005D10C1">
        <w:rPr>
          <w:rFonts w:ascii="Candara" w:hAnsi="Candara"/>
          <w:noProof/>
          <w:lang w:val="en-US"/>
        </w:rPr>
        <w:t xml:space="preserve">Simons, K., &amp; Walls, J. (2010). The U . S . National Innovation System. In V. . Narayanan &amp; G. O’Connor (Eds.), </w:t>
      </w:r>
      <w:r w:rsidRPr="005D10C1">
        <w:rPr>
          <w:rFonts w:ascii="Candara" w:hAnsi="Candara"/>
          <w:i/>
          <w:iCs/>
          <w:noProof/>
          <w:lang w:val="en-US"/>
        </w:rPr>
        <w:t>Encyclopedia of Technology and Innovation Management</w:t>
      </w:r>
      <w:r w:rsidRPr="005D10C1">
        <w:rPr>
          <w:rFonts w:ascii="Candara" w:hAnsi="Candara"/>
          <w:noProof/>
          <w:lang w:val="en-US"/>
        </w:rPr>
        <w:t xml:space="preserve"> (pp. 445–467). Wiley-Blackwell.</w:t>
      </w:r>
    </w:p>
    <w:p w14:paraId="30349C2D" w14:textId="77777777" w:rsidR="00CA1A09" w:rsidRPr="005D10C1" w:rsidRDefault="00CA1A09">
      <w:pPr>
        <w:pStyle w:val="NormalWeb"/>
        <w:ind w:left="480" w:hanging="480"/>
        <w:divId w:val="602030852"/>
        <w:rPr>
          <w:rFonts w:ascii="Candara" w:hAnsi="Candara"/>
          <w:noProof/>
          <w:lang w:val="en-US"/>
        </w:rPr>
      </w:pPr>
      <w:r w:rsidRPr="005D10C1">
        <w:rPr>
          <w:rFonts w:ascii="Candara" w:hAnsi="Candara"/>
          <w:noProof/>
          <w:lang w:val="en-US"/>
        </w:rPr>
        <w:t xml:space="preserve">Song, M., Podoynitsyna, K., Van Der Bij, H., &amp; Halman, J. I. M. (2007). Success Factors in New Ventures: A Meta-analysis*. </w:t>
      </w:r>
      <w:r w:rsidRPr="005D10C1">
        <w:rPr>
          <w:rFonts w:ascii="Candara" w:hAnsi="Candara"/>
          <w:i/>
          <w:iCs/>
          <w:noProof/>
          <w:lang w:val="en-US"/>
        </w:rPr>
        <w:t>Journal of Product Innovation Management</w:t>
      </w:r>
      <w:r w:rsidRPr="005D10C1">
        <w:rPr>
          <w:rFonts w:ascii="Candara" w:hAnsi="Candara"/>
          <w:noProof/>
          <w:lang w:val="en-US"/>
        </w:rPr>
        <w:t xml:space="preserve">, </w:t>
      </w:r>
      <w:r w:rsidRPr="005D10C1">
        <w:rPr>
          <w:rFonts w:ascii="Candara" w:hAnsi="Candara"/>
          <w:i/>
          <w:iCs/>
          <w:noProof/>
          <w:lang w:val="en-US"/>
        </w:rPr>
        <w:t>25</w:t>
      </w:r>
      <w:r w:rsidRPr="005D10C1">
        <w:rPr>
          <w:rFonts w:ascii="Candara" w:hAnsi="Candara"/>
          <w:noProof/>
          <w:lang w:val="en-US"/>
        </w:rPr>
        <w:t>(1), 7–27. doi:10.1111/j.1540-5885.2007.00280.x</w:t>
      </w:r>
    </w:p>
    <w:p w14:paraId="6D584A8E" w14:textId="77777777" w:rsidR="00CA1A09" w:rsidRPr="005D10C1" w:rsidRDefault="00CA1A09">
      <w:pPr>
        <w:pStyle w:val="NormalWeb"/>
        <w:ind w:left="480" w:hanging="480"/>
        <w:divId w:val="602030852"/>
        <w:rPr>
          <w:rFonts w:ascii="Candara" w:hAnsi="Candara"/>
          <w:noProof/>
          <w:lang w:val="en-US"/>
        </w:rPr>
      </w:pPr>
      <w:r w:rsidRPr="005D10C1">
        <w:rPr>
          <w:rFonts w:ascii="Candara" w:hAnsi="Candara"/>
          <w:noProof/>
          <w:lang w:val="en-US"/>
        </w:rPr>
        <w:t xml:space="preserve">Steffensen, M., Rogers, E., &amp; Speakman, K. (1999). Spin-offs from research centers at a research university. </w:t>
      </w:r>
      <w:r w:rsidRPr="005D10C1">
        <w:rPr>
          <w:rFonts w:ascii="Candara" w:hAnsi="Candara"/>
          <w:i/>
          <w:iCs/>
          <w:noProof/>
          <w:lang w:val="en-US"/>
        </w:rPr>
        <w:t>Journal of Business Venturing</w:t>
      </w:r>
      <w:r w:rsidRPr="005D10C1">
        <w:rPr>
          <w:rFonts w:ascii="Candara" w:hAnsi="Candara"/>
          <w:noProof/>
          <w:lang w:val="en-US"/>
        </w:rPr>
        <w:t xml:space="preserve">, </w:t>
      </w:r>
      <w:r w:rsidRPr="005D10C1">
        <w:rPr>
          <w:rFonts w:ascii="Candara" w:hAnsi="Candara"/>
          <w:i/>
          <w:iCs/>
          <w:noProof/>
          <w:lang w:val="en-US"/>
        </w:rPr>
        <w:t>15</w:t>
      </w:r>
      <w:r w:rsidRPr="005D10C1">
        <w:rPr>
          <w:rFonts w:ascii="Candara" w:hAnsi="Candara"/>
          <w:noProof/>
          <w:lang w:val="en-US"/>
        </w:rPr>
        <w:t>(1), 93–111. doi:10.1016/S0883-9026(98)00006-8</w:t>
      </w:r>
    </w:p>
    <w:p w14:paraId="6F310C1D" w14:textId="77777777" w:rsidR="00CA1A09" w:rsidRPr="005D10C1" w:rsidRDefault="00CA1A09">
      <w:pPr>
        <w:pStyle w:val="NormalWeb"/>
        <w:ind w:left="480" w:hanging="480"/>
        <w:divId w:val="602030852"/>
        <w:rPr>
          <w:rFonts w:ascii="Candara" w:hAnsi="Candara"/>
          <w:noProof/>
          <w:lang w:val="en-US"/>
        </w:rPr>
      </w:pPr>
      <w:r w:rsidRPr="005D10C1">
        <w:rPr>
          <w:rFonts w:ascii="Candara" w:hAnsi="Candara"/>
          <w:noProof/>
          <w:lang w:val="en-US"/>
        </w:rPr>
        <w:t xml:space="preserve">Stephan, P., &amp; Levin, S. (1996). Property rights and entrepreneurship in science. </w:t>
      </w:r>
      <w:r w:rsidRPr="005D10C1">
        <w:rPr>
          <w:rFonts w:ascii="Candara" w:hAnsi="Candara"/>
          <w:i/>
          <w:iCs/>
          <w:noProof/>
          <w:lang w:val="en-US"/>
        </w:rPr>
        <w:t>Small Business Economics</w:t>
      </w:r>
      <w:r w:rsidRPr="005D10C1">
        <w:rPr>
          <w:rFonts w:ascii="Candara" w:hAnsi="Candara"/>
          <w:noProof/>
          <w:lang w:val="en-US"/>
        </w:rPr>
        <w:t>. Retrieved from http://link.springer.com/article/10.1007/BF00388646</w:t>
      </w:r>
    </w:p>
    <w:p w14:paraId="47AAAF58" w14:textId="77777777" w:rsidR="00CA1A09" w:rsidRPr="005D10C1" w:rsidRDefault="00CA1A09">
      <w:pPr>
        <w:pStyle w:val="NormalWeb"/>
        <w:ind w:left="480" w:hanging="480"/>
        <w:divId w:val="602030852"/>
        <w:rPr>
          <w:rFonts w:ascii="Candara" w:hAnsi="Candara"/>
          <w:noProof/>
        </w:rPr>
      </w:pPr>
      <w:r w:rsidRPr="005D10C1">
        <w:rPr>
          <w:rFonts w:ascii="Candara" w:hAnsi="Candara"/>
          <w:noProof/>
        </w:rPr>
        <w:t xml:space="preserve">Tamayo, L. (2011). </w:t>
      </w:r>
      <w:r w:rsidRPr="005D10C1">
        <w:rPr>
          <w:rFonts w:ascii="Candara" w:hAnsi="Candara"/>
          <w:i/>
          <w:iCs/>
          <w:noProof/>
        </w:rPr>
        <w:t>Condiciones institucionales para la creación de una spin-off académica: Caso, la Facultad de Minas de la Universidad Nacional de Colombia</w:t>
      </w:r>
      <w:r w:rsidRPr="005D10C1">
        <w:rPr>
          <w:rFonts w:ascii="Candara" w:hAnsi="Candara"/>
          <w:noProof/>
        </w:rPr>
        <w:t>. Universidad Nacional de Colombia.</w:t>
      </w:r>
    </w:p>
    <w:p w14:paraId="7A1591B7" w14:textId="77777777" w:rsidR="00CA1A09" w:rsidRPr="005D10C1" w:rsidRDefault="00CA1A09">
      <w:pPr>
        <w:pStyle w:val="NormalWeb"/>
        <w:ind w:left="480" w:hanging="480"/>
        <w:divId w:val="602030852"/>
        <w:rPr>
          <w:rFonts w:ascii="Candara" w:hAnsi="Candara"/>
          <w:noProof/>
          <w:lang w:val="en-US"/>
        </w:rPr>
      </w:pPr>
      <w:r w:rsidRPr="005D10C1">
        <w:rPr>
          <w:rFonts w:ascii="Candara" w:hAnsi="Candara"/>
          <w:noProof/>
        </w:rPr>
        <w:lastRenderedPageBreak/>
        <w:t xml:space="preserve">Trott, P., Scholten, V. E., &amp; Hartmann, D. (2008). </w:t>
      </w:r>
      <w:r w:rsidRPr="005D10C1">
        <w:rPr>
          <w:rFonts w:ascii="Candara" w:hAnsi="Candara"/>
          <w:noProof/>
          <w:lang w:val="en-US"/>
        </w:rPr>
        <w:t xml:space="preserve">How university incubators may be overprotective and hindering the success of the young firm: Findings from a preliminary study. </w:t>
      </w:r>
      <w:r w:rsidRPr="005D10C1">
        <w:rPr>
          <w:rFonts w:ascii="Candara" w:hAnsi="Candara"/>
          <w:i/>
          <w:iCs/>
          <w:noProof/>
          <w:lang w:val="en-US"/>
        </w:rPr>
        <w:t>2008 IEEE International Engineering Management Conference</w:t>
      </w:r>
      <w:r w:rsidRPr="005D10C1">
        <w:rPr>
          <w:rFonts w:ascii="Candara" w:hAnsi="Candara"/>
          <w:noProof/>
          <w:lang w:val="en-US"/>
        </w:rPr>
        <w:t>, 1–5. doi:10.1109/IEMCE.2008.4617984</w:t>
      </w:r>
    </w:p>
    <w:p w14:paraId="28841603" w14:textId="77777777" w:rsidR="00CA1A09" w:rsidRPr="005D10C1" w:rsidRDefault="00CA1A09">
      <w:pPr>
        <w:pStyle w:val="NormalWeb"/>
        <w:ind w:left="480" w:hanging="480"/>
        <w:divId w:val="602030852"/>
        <w:rPr>
          <w:rFonts w:ascii="Candara" w:hAnsi="Candara"/>
          <w:noProof/>
          <w:lang w:val="en-US"/>
        </w:rPr>
      </w:pPr>
      <w:r w:rsidRPr="005D10C1">
        <w:rPr>
          <w:rFonts w:ascii="Candara" w:hAnsi="Candara"/>
          <w:noProof/>
          <w:lang w:val="en-US"/>
        </w:rPr>
        <w:t>UdeA Noticias. (2012). Bioinnco abre sus alas. Retrieved from http://www.udea.edu.co/portal/page/portal/bActualidad/Principal_UdeA/UdeANoticias/Historial/Historial 2012/Sociedad/Bioinnco abre sus alas</w:t>
      </w:r>
    </w:p>
    <w:p w14:paraId="6E4D46BB" w14:textId="77777777" w:rsidR="00CA1A09" w:rsidRPr="005D10C1" w:rsidRDefault="00CA1A09">
      <w:pPr>
        <w:pStyle w:val="NormalWeb"/>
        <w:ind w:left="480" w:hanging="480"/>
        <w:divId w:val="602030852"/>
        <w:rPr>
          <w:rFonts w:ascii="Candara" w:hAnsi="Candara"/>
          <w:noProof/>
          <w:lang w:val="en-US"/>
        </w:rPr>
      </w:pPr>
      <w:r w:rsidRPr="005D10C1">
        <w:rPr>
          <w:rFonts w:ascii="Candara" w:hAnsi="Candara"/>
          <w:noProof/>
        </w:rPr>
        <w:t xml:space="preserve">Universidad de Antioquia. (n.d.). Universidad de Antioquia. Universidad de Antioquia - Secretaría General. </w:t>
      </w:r>
      <w:r w:rsidRPr="005D10C1">
        <w:rPr>
          <w:rFonts w:ascii="Candara" w:hAnsi="Candara"/>
          <w:noProof/>
          <w:lang w:val="en-US"/>
        </w:rPr>
        <w:t>Retrieved October 29, 2013, from http://www.udea.edu.co/portal/page/portal/Programas/gestionTecnologica/A.institucional/a.quienesSomos</w:t>
      </w:r>
    </w:p>
    <w:p w14:paraId="259F6561" w14:textId="77777777" w:rsidR="00CA1A09" w:rsidRPr="005D10C1" w:rsidRDefault="00CA1A09">
      <w:pPr>
        <w:pStyle w:val="NormalWeb"/>
        <w:ind w:left="480" w:hanging="480"/>
        <w:divId w:val="602030852"/>
        <w:rPr>
          <w:rFonts w:ascii="Candara" w:hAnsi="Candara"/>
          <w:noProof/>
        </w:rPr>
      </w:pPr>
      <w:r w:rsidRPr="005D10C1">
        <w:rPr>
          <w:rFonts w:ascii="Candara" w:hAnsi="Candara"/>
          <w:noProof/>
        </w:rPr>
        <w:t>Universidad de Antioquia. (2005). Estatuto sobre la propiedad intelectual.</w:t>
      </w:r>
    </w:p>
    <w:p w14:paraId="6F00EE03" w14:textId="77777777" w:rsidR="00CA1A09" w:rsidRPr="005D10C1" w:rsidRDefault="00CA1A09">
      <w:pPr>
        <w:pStyle w:val="NormalWeb"/>
        <w:ind w:left="480" w:hanging="480"/>
        <w:divId w:val="602030852"/>
        <w:rPr>
          <w:rFonts w:ascii="Candara" w:hAnsi="Candara"/>
          <w:noProof/>
        </w:rPr>
      </w:pPr>
      <w:r w:rsidRPr="005D10C1">
        <w:rPr>
          <w:rFonts w:ascii="Candara" w:hAnsi="Candara"/>
          <w:noProof/>
        </w:rPr>
        <w:t>Universidad del Valle. (2003). Acuerdo 023. Retrieved from http://secretariageneral.univalle.edu.co/consejo-superior/acuerdos/2003/acu-023.pdf</w:t>
      </w:r>
    </w:p>
    <w:p w14:paraId="11B7D6A3" w14:textId="77777777" w:rsidR="00CA1A09" w:rsidRPr="005D10C1" w:rsidRDefault="00CA1A09">
      <w:pPr>
        <w:pStyle w:val="NormalWeb"/>
        <w:ind w:left="480" w:hanging="480"/>
        <w:divId w:val="602030852"/>
        <w:rPr>
          <w:rFonts w:ascii="Candara" w:hAnsi="Candara"/>
          <w:noProof/>
        </w:rPr>
      </w:pPr>
      <w:r w:rsidRPr="005D10C1">
        <w:rPr>
          <w:rFonts w:ascii="Candara" w:hAnsi="Candara"/>
          <w:noProof/>
        </w:rPr>
        <w:t>Universidad del Valle. (2006). Acuerdo 008. Retrieved from http://cartago.univalle.edu.co/comun/Acuerdo008de2006.pdf</w:t>
      </w:r>
    </w:p>
    <w:p w14:paraId="54B1F445" w14:textId="77777777" w:rsidR="00CA1A09" w:rsidRPr="005D10C1" w:rsidRDefault="00CA1A09">
      <w:pPr>
        <w:pStyle w:val="NormalWeb"/>
        <w:ind w:left="480" w:hanging="480"/>
        <w:divId w:val="602030852"/>
        <w:rPr>
          <w:rFonts w:ascii="Candara" w:hAnsi="Candara"/>
          <w:noProof/>
        </w:rPr>
      </w:pPr>
      <w:r w:rsidRPr="005D10C1">
        <w:rPr>
          <w:rFonts w:ascii="Candara" w:hAnsi="Candara"/>
          <w:noProof/>
        </w:rPr>
        <w:t>Universidad Nacional de Colombia. (2005a). Acuerdo Número 011 de 2005. Retrieved from http://www.unal.edu.co/secretaria/normas/csu/2005/A0011_05S.pdf</w:t>
      </w:r>
    </w:p>
    <w:p w14:paraId="49F4D8BA" w14:textId="77777777" w:rsidR="00CA1A09" w:rsidRPr="005D10C1" w:rsidRDefault="00CA1A09">
      <w:pPr>
        <w:pStyle w:val="NormalWeb"/>
        <w:ind w:left="480" w:hanging="480"/>
        <w:divId w:val="602030852"/>
        <w:rPr>
          <w:rFonts w:ascii="Candara" w:hAnsi="Candara"/>
          <w:noProof/>
          <w:lang w:val="en-US"/>
        </w:rPr>
      </w:pPr>
      <w:r w:rsidRPr="005D10C1">
        <w:rPr>
          <w:rFonts w:ascii="Candara" w:hAnsi="Candara"/>
          <w:noProof/>
        </w:rPr>
        <w:t xml:space="preserve">Universidad Nacional de Colombia. (2005b). Acuerdo 032 de 2005 del Consejo Superior Universitario. </w:t>
      </w:r>
      <w:r w:rsidRPr="005D10C1">
        <w:rPr>
          <w:rFonts w:ascii="Candara" w:hAnsi="Candara"/>
          <w:noProof/>
          <w:lang w:val="en-US"/>
        </w:rPr>
        <w:t>Retrieved from http://www.dib.unal.edu.co/acercade/acuerdo032_2005_csu.html</w:t>
      </w:r>
    </w:p>
    <w:p w14:paraId="512B335B" w14:textId="77777777" w:rsidR="00CA1A09" w:rsidRPr="005D10C1" w:rsidRDefault="00CA1A09">
      <w:pPr>
        <w:pStyle w:val="NormalWeb"/>
        <w:ind w:left="480" w:hanging="480"/>
        <w:divId w:val="602030852"/>
        <w:rPr>
          <w:rFonts w:ascii="Candara" w:hAnsi="Candara"/>
          <w:noProof/>
          <w:lang w:val="en-US"/>
        </w:rPr>
      </w:pPr>
      <w:r w:rsidRPr="005D10C1">
        <w:rPr>
          <w:rFonts w:ascii="Candara" w:hAnsi="Candara"/>
          <w:noProof/>
        </w:rPr>
        <w:t xml:space="preserve">Universidad Nacional de Colombia. (2006). Acuerdo 014 de 2006 del Consejo Superior Universitario. </w:t>
      </w:r>
      <w:r w:rsidRPr="005D10C1">
        <w:rPr>
          <w:rFonts w:ascii="Candara" w:hAnsi="Candara"/>
          <w:noProof/>
          <w:lang w:val="en-US"/>
        </w:rPr>
        <w:t>Retrieved from http://www.dib.unal.edu.co/acercade/acuerdo014_2006_csu.html</w:t>
      </w:r>
    </w:p>
    <w:p w14:paraId="015E1775" w14:textId="77777777" w:rsidR="00CA1A09" w:rsidRPr="005D10C1" w:rsidRDefault="00CA1A09">
      <w:pPr>
        <w:pStyle w:val="NormalWeb"/>
        <w:ind w:left="480" w:hanging="480"/>
        <w:divId w:val="602030852"/>
        <w:rPr>
          <w:rFonts w:ascii="Candara" w:hAnsi="Candara"/>
          <w:noProof/>
          <w:lang w:val="en-US"/>
        </w:rPr>
      </w:pPr>
      <w:r w:rsidRPr="005D10C1">
        <w:rPr>
          <w:rFonts w:ascii="Candara" w:hAnsi="Candara"/>
          <w:noProof/>
        </w:rPr>
        <w:t xml:space="preserve">Universidad Nacional de Colombia. (2009). Acuerdo 036 de 2009. </w:t>
      </w:r>
      <w:r w:rsidRPr="005D10C1">
        <w:rPr>
          <w:rFonts w:ascii="Candara" w:hAnsi="Candara"/>
          <w:noProof/>
          <w:lang w:val="en-US"/>
        </w:rPr>
        <w:t>Retrieved from http://www.dne.unal.edu.co/es/index.php?option=com_jdownloads&amp;Itemid=71&amp;view=finish&amp;cid=7&amp;catid=2</w:t>
      </w:r>
    </w:p>
    <w:p w14:paraId="11B69E7A" w14:textId="77777777" w:rsidR="00CA1A09" w:rsidRPr="005D10C1" w:rsidRDefault="00CA1A09">
      <w:pPr>
        <w:pStyle w:val="NormalWeb"/>
        <w:ind w:left="480" w:hanging="480"/>
        <w:divId w:val="602030852"/>
        <w:rPr>
          <w:rFonts w:ascii="Candara" w:hAnsi="Candara"/>
          <w:noProof/>
          <w:lang w:val="en-US"/>
        </w:rPr>
      </w:pPr>
      <w:r w:rsidRPr="005D10C1">
        <w:rPr>
          <w:rFonts w:ascii="Candara" w:hAnsi="Candara"/>
          <w:noProof/>
          <w:lang w:val="en-US"/>
        </w:rPr>
        <w:t>University Of California. (2013). Office of Technology Transfer -Questions and Answers. Retrieved from http://www.ucop.edu/ott/faculty/tech.html</w:t>
      </w:r>
    </w:p>
    <w:p w14:paraId="25EA5FED" w14:textId="77777777" w:rsidR="00CA1A09" w:rsidRPr="005D10C1" w:rsidRDefault="00CA1A09">
      <w:pPr>
        <w:pStyle w:val="NormalWeb"/>
        <w:ind w:left="480" w:hanging="480"/>
        <w:divId w:val="602030852"/>
        <w:rPr>
          <w:rFonts w:ascii="Candara" w:hAnsi="Candara"/>
          <w:noProof/>
          <w:lang w:val="en-US"/>
        </w:rPr>
      </w:pPr>
      <w:r w:rsidRPr="005D10C1">
        <w:rPr>
          <w:rFonts w:ascii="Candara" w:hAnsi="Candara"/>
          <w:noProof/>
          <w:lang w:val="en-US"/>
        </w:rPr>
        <w:lastRenderedPageBreak/>
        <w:t xml:space="preserve">Valle, M., Bonacelli, M., &amp; Salles-Filho, M. (2002). </w:t>
      </w:r>
      <w:r w:rsidRPr="005D10C1">
        <w:rPr>
          <w:rFonts w:ascii="Candara" w:hAnsi="Candara"/>
          <w:noProof/>
          <w:lang w:val="pt-BR"/>
        </w:rPr>
        <w:t xml:space="preserve">Os fundos setoriais ea política nacional de ciência, tecnologia e inovação. </w:t>
      </w:r>
      <w:r w:rsidRPr="005D10C1">
        <w:rPr>
          <w:rFonts w:ascii="Candara" w:hAnsi="Candara"/>
          <w:i/>
          <w:iCs/>
          <w:noProof/>
          <w:lang w:val="pt-BR"/>
        </w:rPr>
        <w:t>… de Gestão da Inovação …</w:t>
      </w:r>
      <w:r w:rsidRPr="005D10C1">
        <w:rPr>
          <w:rFonts w:ascii="Candara" w:hAnsi="Candara"/>
          <w:noProof/>
          <w:lang w:val="pt-BR"/>
        </w:rPr>
        <w:t xml:space="preserve">. </w:t>
      </w:r>
      <w:r w:rsidRPr="005D10C1">
        <w:rPr>
          <w:rFonts w:ascii="Candara" w:hAnsi="Candara"/>
          <w:noProof/>
          <w:lang w:val="en-US"/>
        </w:rPr>
        <w:t>Salvador.</w:t>
      </w:r>
    </w:p>
    <w:p w14:paraId="2B6ECF84" w14:textId="77777777" w:rsidR="00CA1A09" w:rsidRPr="005D10C1" w:rsidRDefault="00CA1A09">
      <w:pPr>
        <w:pStyle w:val="NormalWeb"/>
        <w:ind w:left="480" w:hanging="480"/>
        <w:divId w:val="602030852"/>
        <w:rPr>
          <w:rFonts w:ascii="Candara" w:hAnsi="Candara"/>
          <w:noProof/>
          <w:lang w:val="fr-FR"/>
        </w:rPr>
      </w:pPr>
      <w:r w:rsidRPr="005D10C1">
        <w:rPr>
          <w:rFonts w:ascii="Candara" w:hAnsi="Candara"/>
          <w:noProof/>
          <w:lang w:val="en-US"/>
        </w:rPr>
        <w:t xml:space="preserve">Van Dierdonck, R., &amp; Debackere, K. (1988). Academic entrepreneurship at Belgian Universities. </w:t>
      </w:r>
      <w:r w:rsidRPr="005D10C1">
        <w:rPr>
          <w:rFonts w:ascii="Candara" w:hAnsi="Candara"/>
          <w:i/>
          <w:iCs/>
          <w:noProof/>
          <w:lang w:val="fr-FR"/>
        </w:rPr>
        <w:t>R&amp;D Management</w:t>
      </w:r>
      <w:r w:rsidRPr="005D10C1">
        <w:rPr>
          <w:rFonts w:ascii="Candara" w:hAnsi="Candara"/>
          <w:noProof/>
          <w:lang w:val="fr-FR"/>
        </w:rPr>
        <w:t xml:space="preserve">, </w:t>
      </w:r>
      <w:r w:rsidRPr="005D10C1">
        <w:rPr>
          <w:rFonts w:ascii="Candara" w:hAnsi="Candara"/>
          <w:i/>
          <w:iCs/>
          <w:noProof/>
          <w:lang w:val="fr-FR"/>
        </w:rPr>
        <w:t>18</w:t>
      </w:r>
      <w:r w:rsidRPr="005D10C1">
        <w:rPr>
          <w:rFonts w:ascii="Candara" w:hAnsi="Candara"/>
          <w:noProof/>
          <w:lang w:val="fr-FR"/>
        </w:rPr>
        <w:t>(4), 341–353. doi:10.1111/j.1467-9310.1988.tb00609.x</w:t>
      </w:r>
    </w:p>
    <w:p w14:paraId="551BD6ED" w14:textId="77777777" w:rsidR="00CA1A09" w:rsidRPr="005D10C1" w:rsidRDefault="00CA1A09">
      <w:pPr>
        <w:pStyle w:val="NormalWeb"/>
        <w:ind w:left="480" w:hanging="480"/>
        <w:divId w:val="602030852"/>
        <w:rPr>
          <w:rFonts w:ascii="Candara" w:hAnsi="Candara"/>
          <w:noProof/>
          <w:lang w:val="en-US"/>
        </w:rPr>
      </w:pPr>
      <w:r w:rsidRPr="005D10C1">
        <w:rPr>
          <w:rFonts w:ascii="Candara" w:hAnsi="Candara"/>
          <w:noProof/>
          <w:lang w:val="fr-FR"/>
        </w:rPr>
        <w:t xml:space="preserve">Van Geenhuizen, M., &amp; Soetanto, D. P. (2009). </w:t>
      </w:r>
      <w:r w:rsidRPr="005D10C1">
        <w:rPr>
          <w:rFonts w:ascii="Candara" w:hAnsi="Candara"/>
          <w:noProof/>
          <w:lang w:val="en-US"/>
        </w:rPr>
        <w:t xml:space="preserve">Academic spin-offs at different ages: A case study in search of key obstacles to growth. </w:t>
      </w:r>
      <w:r w:rsidRPr="005D10C1">
        <w:rPr>
          <w:rFonts w:ascii="Candara" w:hAnsi="Candara"/>
          <w:i/>
          <w:iCs/>
          <w:noProof/>
          <w:lang w:val="en-US"/>
        </w:rPr>
        <w:t>Technovation</w:t>
      </w:r>
      <w:r w:rsidRPr="005D10C1">
        <w:rPr>
          <w:rFonts w:ascii="Candara" w:hAnsi="Candara"/>
          <w:noProof/>
          <w:lang w:val="en-US"/>
        </w:rPr>
        <w:t xml:space="preserve">, </w:t>
      </w:r>
      <w:r w:rsidRPr="005D10C1">
        <w:rPr>
          <w:rFonts w:ascii="Candara" w:hAnsi="Candara"/>
          <w:i/>
          <w:iCs/>
          <w:noProof/>
          <w:lang w:val="en-US"/>
        </w:rPr>
        <w:t>29</w:t>
      </w:r>
      <w:r w:rsidRPr="005D10C1">
        <w:rPr>
          <w:rFonts w:ascii="Candara" w:hAnsi="Candara"/>
          <w:noProof/>
          <w:lang w:val="en-US"/>
        </w:rPr>
        <w:t>(10), 671–681. doi:10.1016/j.technovation.2009.05.009</w:t>
      </w:r>
    </w:p>
    <w:p w14:paraId="28112DBC" w14:textId="77777777" w:rsidR="00CA1A09" w:rsidRPr="005D10C1" w:rsidRDefault="00CA1A09">
      <w:pPr>
        <w:pStyle w:val="NormalWeb"/>
        <w:ind w:left="480" w:hanging="480"/>
        <w:divId w:val="602030852"/>
        <w:rPr>
          <w:rFonts w:ascii="Candara" w:hAnsi="Candara"/>
          <w:noProof/>
          <w:lang w:val="en-US"/>
        </w:rPr>
      </w:pPr>
      <w:r w:rsidRPr="005D10C1">
        <w:rPr>
          <w:rFonts w:ascii="Candara" w:hAnsi="Candara"/>
          <w:noProof/>
          <w:lang w:val="en-US"/>
        </w:rPr>
        <w:t xml:space="preserve">Vohora, A., Wright, M., &amp; Lockett, A. (2004). Critical junctures in the development of university high-tech spinout companies. </w:t>
      </w:r>
      <w:r w:rsidRPr="005D10C1">
        <w:rPr>
          <w:rFonts w:ascii="Candara" w:hAnsi="Candara"/>
          <w:i/>
          <w:iCs/>
          <w:noProof/>
          <w:lang w:val="en-US"/>
        </w:rPr>
        <w:t>Research Policy</w:t>
      </w:r>
      <w:r w:rsidRPr="005D10C1">
        <w:rPr>
          <w:rFonts w:ascii="Candara" w:hAnsi="Candara"/>
          <w:noProof/>
          <w:lang w:val="en-US"/>
        </w:rPr>
        <w:t xml:space="preserve">, </w:t>
      </w:r>
      <w:r w:rsidRPr="005D10C1">
        <w:rPr>
          <w:rFonts w:ascii="Candara" w:hAnsi="Candara"/>
          <w:i/>
          <w:iCs/>
          <w:noProof/>
          <w:lang w:val="en-US"/>
        </w:rPr>
        <w:t>33</w:t>
      </w:r>
      <w:r w:rsidRPr="005D10C1">
        <w:rPr>
          <w:rFonts w:ascii="Candara" w:hAnsi="Candara"/>
          <w:noProof/>
          <w:lang w:val="en-US"/>
        </w:rPr>
        <w:t>(1), 147–175. doi:10.1016/S0048-7333(03)00107-0</w:t>
      </w:r>
    </w:p>
    <w:p w14:paraId="3614492F" w14:textId="77777777" w:rsidR="00CA1A09" w:rsidRPr="005D10C1" w:rsidRDefault="00CA1A09">
      <w:pPr>
        <w:pStyle w:val="NormalWeb"/>
        <w:ind w:left="480" w:hanging="480"/>
        <w:divId w:val="602030852"/>
        <w:rPr>
          <w:rFonts w:ascii="Candara" w:hAnsi="Candara"/>
          <w:noProof/>
          <w:lang w:val="en-US"/>
        </w:rPr>
      </w:pPr>
      <w:r w:rsidRPr="005D10C1">
        <w:rPr>
          <w:rFonts w:ascii="Candara" w:hAnsi="Candara"/>
          <w:noProof/>
          <w:lang w:val="en-US"/>
        </w:rPr>
        <w:t xml:space="preserve">Wallin, M., &amp; Dahlstrand, Å. L. (2006). Sponsored spin-offs, industrial growth and change. </w:t>
      </w:r>
      <w:r w:rsidRPr="005D10C1">
        <w:rPr>
          <w:rFonts w:ascii="Candara" w:hAnsi="Candara"/>
          <w:i/>
          <w:iCs/>
          <w:noProof/>
          <w:lang w:val="en-US"/>
        </w:rPr>
        <w:t>Technovation</w:t>
      </w:r>
      <w:r w:rsidRPr="005D10C1">
        <w:rPr>
          <w:rFonts w:ascii="Candara" w:hAnsi="Candara"/>
          <w:noProof/>
          <w:lang w:val="en-US"/>
        </w:rPr>
        <w:t>. Retrieved from http://www.sciencedirect.com/science/article/pii/S0166497205000441</w:t>
      </w:r>
    </w:p>
    <w:p w14:paraId="43485947" w14:textId="77777777" w:rsidR="00CA1A09" w:rsidRPr="005D10C1" w:rsidRDefault="00CA1A09">
      <w:pPr>
        <w:pStyle w:val="NormalWeb"/>
        <w:ind w:left="480" w:hanging="480"/>
        <w:divId w:val="602030852"/>
        <w:rPr>
          <w:rFonts w:ascii="Candara" w:hAnsi="Candara"/>
          <w:noProof/>
          <w:lang w:val="en-US"/>
        </w:rPr>
      </w:pPr>
      <w:r w:rsidRPr="005D10C1">
        <w:rPr>
          <w:rFonts w:ascii="Candara" w:hAnsi="Candara"/>
          <w:noProof/>
          <w:lang w:val="en-US"/>
        </w:rPr>
        <w:t xml:space="preserve">Walter, A., Auer, M., &amp; Ritter, T. (2006). The impact of network capabilities and entrepreneurial orientation on university spin-off performance. </w:t>
      </w:r>
      <w:r w:rsidRPr="005D10C1">
        <w:rPr>
          <w:rFonts w:ascii="Candara" w:hAnsi="Candara"/>
          <w:i/>
          <w:iCs/>
          <w:noProof/>
          <w:lang w:val="en-US"/>
        </w:rPr>
        <w:t>Journal of Business Venturing</w:t>
      </w:r>
      <w:r w:rsidRPr="005D10C1">
        <w:rPr>
          <w:rFonts w:ascii="Candara" w:hAnsi="Candara"/>
          <w:noProof/>
          <w:lang w:val="en-US"/>
        </w:rPr>
        <w:t xml:space="preserve">, </w:t>
      </w:r>
      <w:r w:rsidRPr="005D10C1">
        <w:rPr>
          <w:rFonts w:ascii="Candara" w:hAnsi="Candara"/>
          <w:i/>
          <w:iCs/>
          <w:noProof/>
          <w:lang w:val="en-US"/>
        </w:rPr>
        <w:t>21</w:t>
      </w:r>
      <w:r w:rsidRPr="005D10C1">
        <w:rPr>
          <w:rFonts w:ascii="Candara" w:hAnsi="Candara"/>
          <w:noProof/>
          <w:lang w:val="en-US"/>
        </w:rPr>
        <w:t>(4), 541–567. doi:10.1016/j.jbusvent.2005.02.005</w:t>
      </w:r>
    </w:p>
    <w:p w14:paraId="4995E464" w14:textId="77777777" w:rsidR="00CA1A09" w:rsidRPr="005D10C1" w:rsidRDefault="00CA1A09">
      <w:pPr>
        <w:pStyle w:val="NormalWeb"/>
        <w:ind w:left="480" w:hanging="480"/>
        <w:divId w:val="602030852"/>
        <w:rPr>
          <w:rFonts w:ascii="Candara" w:hAnsi="Candara"/>
          <w:noProof/>
          <w:lang w:val="en-US"/>
        </w:rPr>
      </w:pPr>
      <w:r w:rsidRPr="005D10C1">
        <w:rPr>
          <w:rFonts w:ascii="Candara" w:hAnsi="Candara"/>
          <w:noProof/>
          <w:lang w:val="en-US"/>
        </w:rPr>
        <w:t>Watkins, W. (2010). From the Lab Bench to the Marketplace</w:t>
      </w:r>
      <w:r w:rsidRPr="005D10C1">
        <w:rPr>
          <w:rFonts w:ascii="Arial" w:hAnsi="Arial" w:cs="Arial"/>
          <w:noProof/>
          <w:lang w:val="en-US"/>
        </w:rPr>
        <w:t> </w:t>
      </w:r>
      <w:r w:rsidRPr="005D10C1">
        <w:rPr>
          <w:rFonts w:ascii="Candara" w:hAnsi="Candara"/>
          <w:noProof/>
          <w:lang w:val="en-US"/>
        </w:rPr>
        <w:t>: Improving Technology Transfer. Akron. Retrieved from http://www.uakron.edu/dotAsset/1245613.pdf</w:t>
      </w:r>
    </w:p>
    <w:p w14:paraId="1667A3E0" w14:textId="77777777" w:rsidR="00CA1A09" w:rsidRPr="005D10C1" w:rsidRDefault="00CA1A09">
      <w:pPr>
        <w:pStyle w:val="NormalWeb"/>
        <w:ind w:left="480" w:hanging="480"/>
        <w:divId w:val="602030852"/>
        <w:rPr>
          <w:rFonts w:ascii="Candara" w:hAnsi="Candara"/>
          <w:noProof/>
          <w:lang w:val="en-US"/>
        </w:rPr>
      </w:pPr>
      <w:r w:rsidRPr="005D10C1">
        <w:rPr>
          <w:rFonts w:ascii="Candara" w:hAnsi="Candara"/>
          <w:noProof/>
          <w:lang w:val="en-US"/>
        </w:rPr>
        <w:t xml:space="preserve">Wright, M., Clarysse, B., Mustar, P., &amp; Lockett, A. (2007). </w:t>
      </w:r>
      <w:r w:rsidRPr="005D10C1">
        <w:rPr>
          <w:rFonts w:ascii="Candara" w:hAnsi="Candara"/>
          <w:i/>
          <w:iCs/>
          <w:noProof/>
          <w:lang w:val="en-US"/>
        </w:rPr>
        <w:t>Academic entrepreneurship in Europe</w:t>
      </w:r>
      <w:r w:rsidRPr="005D10C1">
        <w:rPr>
          <w:rFonts w:ascii="Candara" w:hAnsi="Candara"/>
          <w:noProof/>
          <w:lang w:val="en-US"/>
        </w:rPr>
        <w:t xml:space="preserve"> (p. 228). Cheltenham: Edward Elgar Publishing Limited.</w:t>
      </w:r>
    </w:p>
    <w:p w14:paraId="21069029" w14:textId="77777777" w:rsidR="00CA1A09" w:rsidRPr="005D10C1" w:rsidRDefault="00CA1A09">
      <w:pPr>
        <w:pStyle w:val="NormalWeb"/>
        <w:ind w:left="480" w:hanging="480"/>
        <w:divId w:val="602030852"/>
        <w:rPr>
          <w:rFonts w:ascii="Candara" w:hAnsi="Candara"/>
          <w:noProof/>
          <w:lang w:val="en-US"/>
        </w:rPr>
      </w:pPr>
      <w:r w:rsidRPr="005D10C1">
        <w:rPr>
          <w:rFonts w:ascii="Candara" w:hAnsi="Candara"/>
          <w:noProof/>
          <w:lang w:val="en-US"/>
        </w:rPr>
        <w:t xml:space="preserve">Wright, M., &amp; Lockett, A. (2006). University spin-out companies and venture capital. </w:t>
      </w:r>
      <w:r w:rsidRPr="005D10C1">
        <w:rPr>
          <w:rFonts w:ascii="Candara" w:hAnsi="Candara"/>
          <w:i/>
          <w:iCs/>
          <w:noProof/>
          <w:lang w:val="en-US"/>
        </w:rPr>
        <w:t>Research Policy</w:t>
      </w:r>
      <w:r w:rsidRPr="005D10C1">
        <w:rPr>
          <w:rFonts w:ascii="Candara" w:hAnsi="Candara"/>
          <w:noProof/>
          <w:lang w:val="en-US"/>
        </w:rPr>
        <w:t>. Retrieved from http://www.sciencedirect.com/science/article/pii/S0048733306000369</w:t>
      </w:r>
    </w:p>
    <w:p w14:paraId="13D528D3" w14:textId="77777777" w:rsidR="00CA1A09" w:rsidRPr="005D10C1" w:rsidRDefault="00CA1A09">
      <w:pPr>
        <w:pStyle w:val="NormalWeb"/>
        <w:ind w:left="480" w:hanging="480"/>
        <w:divId w:val="602030852"/>
        <w:rPr>
          <w:rFonts w:ascii="Candara" w:hAnsi="Candara"/>
          <w:noProof/>
          <w:lang w:val="en-US"/>
        </w:rPr>
      </w:pPr>
      <w:r w:rsidRPr="005D10C1">
        <w:rPr>
          <w:rFonts w:ascii="Candara" w:hAnsi="Candara"/>
          <w:noProof/>
          <w:lang w:val="en-US"/>
        </w:rPr>
        <w:t xml:space="preserve">Zhang, J. (2008). The performance of university spin-offs: an exploratory analysis using venture capital data. </w:t>
      </w:r>
      <w:r w:rsidRPr="005D10C1">
        <w:rPr>
          <w:rFonts w:ascii="Candara" w:hAnsi="Candara"/>
          <w:i/>
          <w:iCs/>
          <w:noProof/>
          <w:lang w:val="en-US"/>
        </w:rPr>
        <w:t>The Journal of Technology Transfer</w:t>
      </w:r>
      <w:r w:rsidRPr="005D10C1">
        <w:rPr>
          <w:rFonts w:ascii="Candara" w:hAnsi="Candara"/>
          <w:noProof/>
          <w:lang w:val="en-US"/>
        </w:rPr>
        <w:t xml:space="preserve">, </w:t>
      </w:r>
      <w:r w:rsidRPr="005D10C1">
        <w:rPr>
          <w:rFonts w:ascii="Candara" w:hAnsi="Candara"/>
          <w:i/>
          <w:iCs/>
          <w:noProof/>
          <w:lang w:val="en-US"/>
        </w:rPr>
        <w:t>34</w:t>
      </w:r>
      <w:r w:rsidRPr="005D10C1">
        <w:rPr>
          <w:rFonts w:ascii="Candara" w:hAnsi="Candara"/>
          <w:noProof/>
          <w:lang w:val="en-US"/>
        </w:rPr>
        <w:t>(3), 255–285. doi:10.1007/s10961-008-9088-9</w:t>
      </w:r>
    </w:p>
    <w:p w14:paraId="738BD568" w14:textId="77777777" w:rsidR="00CA1A09" w:rsidRPr="005D10C1" w:rsidRDefault="00CA1A09">
      <w:pPr>
        <w:pStyle w:val="NormalWeb"/>
        <w:ind w:left="480" w:hanging="480"/>
        <w:divId w:val="602030852"/>
        <w:rPr>
          <w:rFonts w:ascii="Candara" w:hAnsi="Candara"/>
          <w:noProof/>
          <w:lang w:val="en-US"/>
        </w:rPr>
      </w:pPr>
      <w:r w:rsidRPr="005D10C1">
        <w:rPr>
          <w:rFonts w:ascii="Candara" w:hAnsi="Candara"/>
          <w:noProof/>
          <w:lang w:val="en-US"/>
        </w:rPr>
        <w:t xml:space="preserve">Zucker, L., Darby, M., &amp; Brewer, M. (1999). Intellectual capital and the birth of US biotechnology enterprises. </w:t>
      </w:r>
      <w:r w:rsidRPr="005D10C1">
        <w:rPr>
          <w:rFonts w:ascii="Candara" w:hAnsi="Candara"/>
          <w:i/>
          <w:iCs/>
          <w:noProof/>
          <w:lang w:val="en-US"/>
        </w:rPr>
        <w:t>American Economic Review</w:t>
      </w:r>
      <w:r w:rsidRPr="005D10C1">
        <w:rPr>
          <w:rFonts w:ascii="Candara" w:hAnsi="Candara"/>
          <w:noProof/>
          <w:lang w:val="en-US"/>
        </w:rPr>
        <w:t xml:space="preserve">, </w:t>
      </w:r>
      <w:r w:rsidRPr="005D10C1">
        <w:rPr>
          <w:rFonts w:ascii="Candara" w:hAnsi="Candara"/>
          <w:i/>
          <w:iCs/>
          <w:noProof/>
          <w:lang w:val="en-US"/>
        </w:rPr>
        <w:t>33</w:t>
      </w:r>
      <w:r w:rsidRPr="005D10C1">
        <w:rPr>
          <w:rFonts w:ascii="Candara" w:hAnsi="Candara"/>
          <w:noProof/>
          <w:lang w:val="en-US"/>
        </w:rPr>
        <w:t>(1), 290–305. Retrieved from http://www.nber.org/papers/w4653</w:t>
      </w:r>
    </w:p>
    <w:p w14:paraId="5686DDCE" w14:textId="77777777" w:rsidR="00CA1A09" w:rsidRPr="005D10C1" w:rsidRDefault="00CA1A09">
      <w:pPr>
        <w:pStyle w:val="NormalWeb"/>
        <w:ind w:left="480" w:hanging="480"/>
        <w:divId w:val="602030852"/>
        <w:rPr>
          <w:rFonts w:ascii="Candara" w:hAnsi="Candara"/>
          <w:noProof/>
        </w:rPr>
      </w:pPr>
      <w:r w:rsidRPr="005D10C1">
        <w:rPr>
          <w:rFonts w:ascii="Candara" w:hAnsi="Candara"/>
          <w:noProof/>
        </w:rPr>
        <w:lastRenderedPageBreak/>
        <w:t xml:space="preserve">Zuñiga, A. C. (2012). </w:t>
      </w:r>
      <w:r w:rsidRPr="005D10C1">
        <w:rPr>
          <w:rFonts w:ascii="Candara" w:hAnsi="Candara"/>
          <w:i/>
          <w:iCs/>
          <w:noProof/>
        </w:rPr>
        <w:t>Barreras y facilitadores en la creación de la primera spin-off en la Universidad de Antioquia: Conocimientos y servicios de ingeniería S.A.S</w:t>
      </w:r>
      <w:r w:rsidRPr="005D10C1">
        <w:rPr>
          <w:rFonts w:ascii="Candara" w:hAnsi="Candara"/>
          <w:noProof/>
        </w:rPr>
        <w:t>. Universidad de Antioquia.</w:t>
      </w:r>
    </w:p>
    <w:p w14:paraId="0EF81EC0" w14:textId="77777777" w:rsidR="00C43C91" w:rsidRPr="005D10C1" w:rsidRDefault="003B0D24" w:rsidP="00A839AE">
      <w:pPr>
        <w:pStyle w:val="NormalWeb"/>
        <w:ind w:left="480" w:hanging="480"/>
        <w:rPr>
          <w:rFonts w:ascii="Candara" w:hAnsi="Candara"/>
        </w:rPr>
      </w:pPr>
      <w:r w:rsidRPr="005D10C1">
        <w:rPr>
          <w:rFonts w:ascii="Candara" w:hAnsi="Candara"/>
        </w:rPr>
        <w:fldChar w:fldCharType="end"/>
      </w:r>
    </w:p>
    <w:sectPr w:rsidR="00C43C91" w:rsidRPr="005D10C1" w:rsidSect="00F563A7">
      <w:headerReference w:type="default" r:id="rId26"/>
      <w:footerReference w:type="default" r:id="rId27"/>
      <w:pgSz w:w="12240" w:h="15840"/>
      <w:pgMar w:top="2268" w:right="1701" w:bottom="1417" w:left="1701" w:header="709" w:footer="709"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8" w:author="Alejandro" w:date="2014-03-31T23:42:00Z" w:initials="AM">
    <w:p w14:paraId="01D11E33" w14:textId="77777777" w:rsidR="00C7596F" w:rsidRDefault="00C7596F">
      <w:pPr>
        <w:pStyle w:val="Textocomentario"/>
      </w:pPr>
      <w:r>
        <w:rPr>
          <w:rStyle w:val="Refdecomentario"/>
        </w:rPr>
        <w:annotationRef/>
      </w:r>
      <w:r>
        <w:t>Sí los socios crean una empresa a partir de una existente, no sería Spin Off a la luz de la definición de Condom, 2003</w:t>
      </w:r>
    </w:p>
  </w:comment>
  <w:comment w:id="9" w:author="Alejandro" w:date="2014-03-31T22:50:00Z" w:initials="AM">
    <w:p w14:paraId="4E802F3E" w14:textId="77777777" w:rsidR="00AC592C" w:rsidRDefault="00AC592C">
      <w:pPr>
        <w:pStyle w:val="Textocomentario"/>
      </w:pPr>
      <w:r>
        <w:rPr>
          <w:rStyle w:val="Refdecomentario"/>
        </w:rPr>
        <w:annotationRef/>
      </w:r>
      <w:r>
        <w:t>Por qué nuevas?</w:t>
      </w:r>
    </w:p>
  </w:comment>
  <w:comment w:id="10" w:author="Alejandro" w:date="2014-03-31T22:50:00Z" w:initials="AM">
    <w:p w14:paraId="26A13784" w14:textId="77777777" w:rsidR="00AC592C" w:rsidRDefault="00AC592C">
      <w:pPr>
        <w:pStyle w:val="Textocomentario"/>
      </w:pPr>
      <w:r>
        <w:rPr>
          <w:rStyle w:val="Refdecomentario"/>
        </w:rPr>
        <w:annotationRef/>
      </w:r>
      <w:r>
        <w:t>Igual que el anterior</w:t>
      </w:r>
    </w:p>
  </w:comment>
  <w:comment w:id="11" w:author="Alejandro" w:date="2014-03-31T22:51:00Z" w:initials="AM">
    <w:p w14:paraId="11DB9334" w14:textId="77777777" w:rsidR="00AC592C" w:rsidRDefault="00AC592C">
      <w:pPr>
        <w:pStyle w:val="Textocomentario"/>
      </w:pPr>
      <w:r>
        <w:rPr>
          <w:rStyle w:val="Refdecomentario"/>
        </w:rPr>
        <w:annotationRef/>
      </w:r>
      <w:r>
        <w:t>El significado del término no tiene relación con su origen</w:t>
      </w:r>
    </w:p>
  </w:comment>
  <w:comment w:id="14" w:author="Alejandro" w:date="2014-03-31T23:06:00Z" w:initials="AM">
    <w:p w14:paraId="2FAAF9F9" w14:textId="77777777" w:rsidR="00C80CD3" w:rsidRDefault="00C80CD3">
      <w:pPr>
        <w:pStyle w:val="Textocomentario"/>
      </w:pPr>
      <w:r>
        <w:rPr>
          <w:rStyle w:val="Refdecomentario"/>
        </w:rPr>
        <w:annotationRef/>
      </w:r>
      <w:r>
        <w:t>Se cree que existe o se interpreta en la normativa existente</w:t>
      </w:r>
    </w:p>
  </w:comment>
  <w:comment w:id="225" w:author="Alejandro" w:date="2014-03-31T23:11:00Z" w:initials="AM">
    <w:p w14:paraId="4D449541" w14:textId="77777777" w:rsidR="009266AA" w:rsidRDefault="009266AA">
      <w:pPr>
        <w:pStyle w:val="Textocomentario"/>
      </w:pPr>
      <w:r>
        <w:rPr>
          <w:rStyle w:val="Refdecomentario"/>
        </w:rPr>
        <w:annotationRef/>
      </w:r>
      <w:r>
        <w:t>Dato más antiguo</w:t>
      </w:r>
    </w:p>
  </w:comment>
  <w:comment w:id="231" w:author="Alejandro" w:date="2014-03-31T23:16:00Z" w:initials="AM">
    <w:p w14:paraId="5B1EC99C" w14:textId="77777777" w:rsidR="00B8369A" w:rsidRDefault="00B8369A">
      <w:pPr>
        <w:pStyle w:val="Textocomentario"/>
      </w:pPr>
      <w:r>
        <w:rPr>
          <w:rStyle w:val="Refdecomentario"/>
        </w:rPr>
        <w:annotationRef/>
      </w:r>
      <w:r>
        <w:t>Más antiguo</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1D11E33" w15:done="0"/>
  <w15:commentEx w15:paraId="4E802F3E" w15:done="0"/>
  <w15:commentEx w15:paraId="26A13784" w15:done="0"/>
  <w15:commentEx w15:paraId="11DB9334" w15:done="0"/>
  <w15:commentEx w15:paraId="2FAAF9F9" w15:done="0"/>
  <w15:commentEx w15:paraId="4D449541" w15:done="0"/>
  <w15:commentEx w15:paraId="5B1EC99C"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2F0CA9D" w14:textId="77777777" w:rsidR="00DB0C1B" w:rsidRDefault="00DB0C1B" w:rsidP="00721A12">
      <w:pPr>
        <w:spacing w:line="240" w:lineRule="auto"/>
      </w:pPr>
      <w:r>
        <w:separator/>
      </w:r>
    </w:p>
  </w:endnote>
  <w:endnote w:type="continuationSeparator" w:id="0">
    <w:p w14:paraId="1917CEA4" w14:textId="77777777" w:rsidR="00DB0C1B" w:rsidRDefault="00DB0C1B" w:rsidP="00721A1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tisSansSerif">
    <w:panose1 w:val="00000000000000000000"/>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10006FF" w:usb1="4000205B" w:usb2="00000010" w:usb3="00000000" w:csb0="0000019F" w:csb1="00000000"/>
  </w:font>
  <w:font w:name="Candara">
    <w:panose1 w:val="020E0502030303020204"/>
    <w:charset w:val="00"/>
    <w:family w:val="swiss"/>
    <w:pitch w:val="variable"/>
    <w:sig w:usb0="A00002EF" w:usb1="4000A44B" w:usb2="00000000" w:usb3="00000000" w:csb0="0000019F" w:csb1="00000000"/>
  </w:font>
  <w:font w:name="ArialNarrow">
    <w:panose1 w:val="00000000000000000000"/>
    <w:charset w:val="00"/>
    <w:family w:val="auto"/>
    <w:notTrueType/>
    <w:pitch w:val="default"/>
    <w:sig w:usb0="00000003" w:usb1="00000000" w:usb2="00000000" w:usb3="00000000" w:csb0="00000001" w:csb1="00000000"/>
  </w:font>
  <w:font w:name="Times">
    <w:panose1 w:val="020206030504050203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heme="majorHAnsi" w:hAnsiTheme="majorHAnsi"/>
        <w:sz w:val="18"/>
        <w:szCs w:val="18"/>
      </w:rPr>
      <w:id w:val="-1256049710"/>
      <w:docPartObj>
        <w:docPartGallery w:val="Page Numbers (Bottom of Page)"/>
        <w:docPartUnique/>
      </w:docPartObj>
    </w:sdtPr>
    <w:sdtEndPr/>
    <w:sdtContent>
      <w:sdt>
        <w:sdtPr>
          <w:rPr>
            <w:rFonts w:asciiTheme="majorHAnsi" w:hAnsiTheme="majorHAnsi"/>
            <w:sz w:val="18"/>
            <w:szCs w:val="18"/>
          </w:rPr>
          <w:id w:val="-1769616900"/>
          <w:docPartObj>
            <w:docPartGallery w:val="Page Numbers (Top of Page)"/>
            <w:docPartUnique/>
          </w:docPartObj>
        </w:sdtPr>
        <w:sdtEndPr/>
        <w:sdtContent>
          <w:p w14:paraId="33FD8CC6" w14:textId="77777777" w:rsidR="009B66A2" w:rsidRPr="00972D0E" w:rsidRDefault="009B66A2">
            <w:pPr>
              <w:pStyle w:val="Piedepgina"/>
              <w:jc w:val="right"/>
              <w:rPr>
                <w:rFonts w:asciiTheme="majorHAnsi" w:hAnsiTheme="majorHAnsi"/>
                <w:sz w:val="18"/>
                <w:szCs w:val="18"/>
              </w:rPr>
            </w:pPr>
            <w:r w:rsidRPr="00972D0E">
              <w:rPr>
                <w:rFonts w:asciiTheme="majorHAnsi" w:hAnsiTheme="majorHAnsi"/>
                <w:sz w:val="18"/>
                <w:szCs w:val="18"/>
                <w:lang w:val="es-ES"/>
              </w:rPr>
              <w:t xml:space="preserve">Página </w:t>
            </w:r>
            <w:r w:rsidR="003B0D24" w:rsidRPr="00972D0E">
              <w:rPr>
                <w:rFonts w:asciiTheme="majorHAnsi" w:hAnsiTheme="majorHAnsi"/>
                <w:b/>
                <w:bCs/>
                <w:sz w:val="18"/>
                <w:szCs w:val="18"/>
              </w:rPr>
              <w:fldChar w:fldCharType="begin"/>
            </w:r>
            <w:r w:rsidRPr="00972D0E">
              <w:rPr>
                <w:rFonts w:asciiTheme="majorHAnsi" w:hAnsiTheme="majorHAnsi"/>
                <w:b/>
                <w:bCs/>
                <w:sz w:val="18"/>
                <w:szCs w:val="18"/>
              </w:rPr>
              <w:instrText>PAGE</w:instrText>
            </w:r>
            <w:r w:rsidR="003B0D24" w:rsidRPr="00972D0E">
              <w:rPr>
                <w:rFonts w:asciiTheme="majorHAnsi" w:hAnsiTheme="majorHAnsi"/>
                <w:b/>
                <w:bCs/>
                <w:sz w:val="18"/>
                <w:szCs w:val="18"/>
              </w:rPr>
              <w:fldChar w:fldCharType="separate"/>
            </w:r>
            <w:r w:rsidR="00CE3B60">
              <w:rPr>
                <w:rFonts w:asciiTheme="majorHAnsi" w:hAnsiTheme="majorHAnsi"/>
                <w:b/>
                <w:bCs/>
                <w:noProof/>
                <w:sz w:val="18"/>
                <w:szCs w:val="18"/>
              </w:rPr>
              <w:t>1</w:t>
            </w:r>
            <w:r w:rsidR="003B0D24" w:rsidRPr="00972D0E">
              <w:rPr>
                <w:rFonts w:asciiTheme="majorHAnsi" w:hAnsiTheme="majorHAnsi"/>
                <w:b/>
                <w:bCs/>
                <w:sz w:val="18"/>
                <w:szCs w:val="18"/>
              </w:rPr>
              <w:fldChar w:fldCharType="end"/>
            </w:r>
            <w:r w:rsidRPr="00972D0E">
              <w:rPr>
                <w:rFonts w:asciiTheme="majorHAnsi" w:hAnsiTheme="majorHAnsi"/>
                <w:sz w:val="18"/>
                <w:szCs w:val="18"/>
                <w:lang w:val="es-ES"/>
              </w:rPr>
              <w:t xml:space="preserve"> de </w:t>
            </w:r>
            <w:r w:rsidR="003B0D24" w:rsidRPr="00972D0E">
              <w:rPr>
                <w:rFonts w:asciiTheme="majorHAnsi" w:hAnsiTheme="majorHAnsi"/>
                <w:b/>
                <w:bCs/>
                <w:sz w:val="18"/>
                <w:szCs w:val="18"/>
              </w:rPr>
              <w:fldChar w:fldCharType="begin"/>
            </w:r>
            <w:r w:rsidRPr="00972D0E">
              <w:rPr>
                <w:rFonts w:asciiTheme="majorHAnsi" w:hAnsiTheme="majorHAnsi"/>
                <w:b/>
                <w:bCs/>
                <w:sz w:val="18"/>
                <w:szCs w:val="18"/>
              </w:rPr>
              <w:instrText>NUMPAGES</w:instrText>
            </w:r>
            <w:r w:rsidR="003B0D24" w:rsidRPr="00972D0E">
              <w:rPr>
                <w:rFonts w:asciiTheme="majorHAnsi" w:hAnsiTheme="majorHAnsi"/>
                <w:b/>
                <w:bCs/>
                <w:sz w:val="18"/>
                <w:szCs w:val="18"/>
              </w:rPr>
              <w:fldChar w:fldCharType="separate"/>
            </w:r>
            <w:r w:rsidR="00CE3B60">
              <w:rPr>
                <w:rFonts w:asciiTheme="majorHAnsi" w:hAnsiTheme="majorHAnsi"/>
                <w:b/>
                <w:bCs/>
                <w:noProof/>
                <w:sz w:val="18"/>
                <w:szCs w:val="18"/>
              </w:rPr>
              <w:t>91</w:t>
            </w:r>
            <w:r w:rsidR="003B0D24" w:rsidRPr="00972D0E">
              <w:rPr>
                <w:rFonts w:asciiTheme="majorHAnsi" w:hAnsiTheme="majorHAnsi"/>
                <w:b/>
                <w:bCs/>
                <w:sz w:val="18"/>
                <w:szCs w:val="18"/>
              </w:rPr>
              <w:fldChar w:fldCharType="end"/>
            </w:r>
          </w:p>
        </w:sdtContent>
      </w:sdt>
    </w:sdtContent>
  </w:sdt>
  <w:p w14:paraId="210E5F4C" w14:textId="77777777" w:rsidR="009B66A2" w:rsidRDefault="009B66A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57CACBB" w14:textId="77777777" w:rsidR="00DB0C1B" w:rsidRDefault="00DB0C1B" w:rsidP="00721A12">
      <w:pPr>
        <w:spacing w:line="240" w:lineRule="auto"/>
      </w:pPr>
      <w:r>
        <w:separator/>
      </w:r>
    </w:p>
  </w:footnote>
  <w:footnote w:type="continuationSeparator" w:id="0">
    <w:p w14:paraId="52E6672F" w14:textId="77777777" w:rsidR="00DB0C1B" w:rsidRDefault="00DB0C1B" w:rsidP="00721A12">
      <w:pPr>
        <w:spacing w:line="240" w:lineRule="auto"/>
      </w:pPr>
      <w:r>
        <w:continuationSeparator/>
      </w:r>
    </w:p>
  </w:footnote>
  <w:footnote w:id="1">
    <w:p w14:paraId="6978F115" w14:textId="77777777" w:rsidR="009B66A2" w:rsidRPr="005D10C1" w:rsidRDefault="009B66A2">
      <w:pPr>
        <w:pStyle w:val="Textonotapie"/>
        <w:rPr>
          <w:rFonts w:ascii="Candara" w:hAnsi="Candara"/>
        </w:rPr>
      </w:pPr>
      <w:r w:rsidRPr="005D10C1">
        <w:rPr>
          <w:rStyle w:val="Refdenotaalpie"/>
          <w:rFonts w:ascii="Candara" w:hAnsi="Candara"/>
        </w:rPr>
        <w:footnoteRef/>
      </w:r>
      <w:r w:rsidRPr="005D10C1">
        <w:rPr>
          <w:rFonts w:ascii="Candara" w:hAnsi="Candara"/>
        </w:rPr>
        <w:t xml:space="preserve"> Una empresa junior es una consultora sin ánimo de lucro que provee servicios a través de una unidad académica, a un bajo costo. La gestión se lleva a cabo por los alumnos y el apoyo técnico es proporcionado por los profesores </w:t>
      </w:r>
      <w:r w:rsidR="003B0D24" w:rsidRPr="005D10C1">
        <w:rPr>
          <w:rFonts w:ascii="Candara" w:hAnsi="Candara"/>
        </w:rPr>
        <w:fldChar w:fldCharType="begin" w:fldLock="1"/>
      </w:r>
      <w:r w:rsidRPr="005D10C1">
        <w:rPr>
          <w:rFonts w:ascii="Candara" w:hAnsi="Candara"/>
        </w:rPr>
        <w:instrText>ADDIN CSL_CITATION { "citationItems" : [ { "id" : "ITEM-1", "itemData" : { "DOI" : "10.3152/030234209X406791", "ISSN" : "03023427", "author" : [ { "dropping-particle" : "", "family" : "Maculan", "given" : "Anne-Marie", "non-dropping-particle" : "", "parse-names" : false, "suffix" : "" }, { "dropping-particle" : "", "family" : "Mello", "given" : "Jos\u00e9 Manoel Carvalho", "non-dropping-particle" : "de", "parse-names" : false, "suffix" : "" } ], "container-title" : "Science and Public Policy", "id" : "ITEM-1", "issue" : "2", "issued" : { "date-parts" : [ [ "2009", "3", "1" ] ] }, "page" : "109-114", "title" : "University start-ups for breaking lock-ins of the Brazilian economy", "type" : "article-journal", "volume" : "36" }, "uris" : [ "http://www.mendeley.com/documents/?uuid=be75143b-ea4e-49ad-acac-caa5e4e18799" ] } ], "mendeley" : { "previouslyFormattedCitation" : "(Maculan &amp; de Mello, 2009)" }, "properties" : { "noteIndex" : 0 }, "schema" : "https://github.com/citation-style-language/schema/raw/master/csl-citation.json" }</w:instrText>
      </w:r>
      <w:r w:rsidR="003B0D24" w:rsidRPr="005D10C1">
        <w:rPr>
          <w:rFonts w:ascii="Candara" w:hAnsi="Candara"/>
        </w:rPr>
        <w:fldChar w:fldCharType="separate"/>
      </w:r>
      <w:r w:rsidRPr="005D10C1">
        <w:rPr>
          <w:rFonts w:ascii="Candara" w:hAnsi="Candara"/>
          <w:noProof/>
        </w:rPr>
        <w:t>(Maculan &amp; de Mello, 2009)</w:t>
      </w:r>
      <w:r w:rsidR="003B0D24" w:rsidRPr="005D10C1">
        <w:rPr>
          <w:rFonts w:ascii="Candara" w:hAnsi="Candara"/>
        </w:rPr>
        <w:fldChar w:fldCharType="end"/>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C28430" w14:textId="77777777" w:rsidR="009B66A2" w:rsidRPr="00972D0E" w:rsidRDefault="009B66A2">
    <w:pPr>
      <w:pStyle w:val="Encabezado"/>
      <w:rPr>
        <w:sz w:val="16"/>
        <w:szCs w:val="16"/>
      </w:rPr>
    </w:pPr>
    <w:r w:rsidRPr="00972D0E">
      <w:rPr>
        <w:noProof/>
        <w:sz w:val="16"/>
        <w:szCs w:val="16"/>
        <w:lang w:eastAsia="es-CO"/>
      </w:rPr>
      <w:drawing>
        <wp:anchor distT="0" distB="0" distL="114300" distR="114300" simplePos="0" relativeHeight="251658240" behindDoc="0" locked="0" layoutInCell="1" allowOverlap="1" wp14:anchorId="1C5FB5C2" wp14:editId="1ECCA06E">
          <wp:simplePos x="0" y="0"/>
          <wp:positionH relativeFrom="column">
            <wp:posOffset>2397344</wp:posOffset>
          </wp:positionH>
          <wp:positionV relativeFrom="paragraph">
            <wp:posOffset>-159057</wp:posOffset>
          </wp:positionV>
          <wp:extent cx="797560" cy="1048385"/>
          <wp:effectExtent l="0" t="0" r="2540" b="0"/>
          <wp:wrapTopAndBottom/>
          <wp:docPr id="12" name="Imagen 12" descr="logotipo universid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tipo universida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7560" cy="1048385"/>
                  </a:xfrm>
                  <a:prstGeom prst="rect">
                    <a:avLst/>
                  </a:prstGeom>
                  <a:noFill/>
                  <a:ln>
                    <a:noFill/>
                  </a:ln>
                </pic:spPr>
              </pic:pic>
            </a:graphicData>
          </a:graphic>
        </wp:anchor>
      </w:drawing>
    </w:r>
    <w:r w:rsidRPr="00972D0E">
      <w:rPr>
        <w:noProof/>
        <w:sz w:val="16"/>
        <w:szCs w:val="16"/>
        <w:lang w:eastAsia="es-CO"/>
      </w:rPr>
      <w:drawing>
        <wp:anchor distT="0" distB="0" distL="114300" distR="114300" simplePos="0" relativeHeight="251660288" behindDoc="0" locked="0" layoutInCell="1" allowOverlap="1" wp14:anchorId="2B336458" wp14:editId="6D9D4946">
          <wp:simplePos x="0" y="0"/>
          <wp:positionH relativeFrom="column">
            <wp:posOffset>3845538</wp:posOffset>
          </wp:positionH>
          <wp:positionV relativeFrom="paragraph">
            <wp:posOffset>50800</wp:posOffset>
          </wp:positionV>
          <wp:extent cx="1104265" cy="666750"/>
          <wp:effectExtent l="0" t="0" r="635" b="0"/>
          <wp:wrapTopAndBottom/>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04265" cy="666750"/>
                  </a:xfrm>
                  <a:prstGeom prst="rect">
                    <a:avLst/>
                  </a:prstGeom>
                  <a:noFill/>
                  <a:ln>
                    <a:noFill/>
                  </a:ln>
                </pic:spPr>
              </pic:pic>
            </a:graphicData>
          </a:graphic>
        </wp:anchor>
      </w:drawing>
    </w:r>
    <w:r w:rsidRPr="00972D0E">
      <w:rPr>
        <w:noProof/>
        <w:sz w:val="16"/>
        <w:szCs w:val="16"/>
        <w:lang w:eastAsia="es-CO"/>
      </w:rPr>
      <w:drawing>
        <wp:anchor distT="0" distB="0" distL="114300" distR="114300" simplePos="0" relativeHeight="251656192" behindDoc="0" locked="0" layoutInCell="1" allowOverlap="1" wp14:anchorId="4611034E" wp14:editId="15B8B15D">
          <wp:simplePos x="0" y="0"/>
          <wp:positionH relativeFrom="column">
            <wp:posOffset>-1905</wp:posOffset>
          </wp:positionH>
          <wp:positionV relativeFrom="paragraph">
            <wp:posOffset>154940</wp:posOffset>
          </wp:positionV>
          <wp:extent cx="1986915" cy="558165"/>
          <wp:effectExtent l="0" t="0" r="0" b="0"/>
          <wp:wrapTopAndBottom/>
          <wp:docPr id="9" name="Imagen 9" descr="https://encrypted-tbn2.gstatic.com/images?q=tbn:ANd9GcQBZ9Egs6f4_2tPNVT6jdNXxeOE9ZCKk1xZq0S9N1Ch61aEqzt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https://encrypted-tbn2.gstatic.com/images?q=tbn:ANd9GcQBZ9Egs6f4_2tPNVT6jdNXxeOE9ZCKk1xZq0S9N1Ch61aEqztN"/>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986915" cy="55816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672912"/>
    <w:multiLevelType w:val="hybridMultilevel"/>
    <w:tmpl w:val="F29AAF5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6AB7FCE"/>
    <w:multiLevelType w:val="hybridMultilevel"/>
    <w:tmpl w:val="C4EACCE0"/>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08BA6AF8"/>
    <w:multiLevelType w:val="hybridMultilevel"/>
    <w:tmpl w:val="FA38FAF8"/>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3" w15:restartNumberingAfterBreak="0">
    <w:nsid w:val="1A4A3EF4"/>
    <w:multiLevelType w:val="hybridMultilevel"/>
    <w:tmpl w:val="2B18AE6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1FC57B43"/>
    <w:multiLevelType w:val="hybridMultilevel"/>
    <w:tmpl w:val="10FE553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29961236"/>
    <w:multiLevelType w:val="hybridMultilevel"/>
    <w:tmpl w:val="BDB0AA06"/>
    <w:lvl w:ilvl="0" w:tplc="0C0A0001">
      <w:start w:val="1"/>
      <w:numFmt w:val="bullet"/>
      <w:lvlText w:val=""/>
      <w:lvlJc w:val="left"/>
      <w:pPr>
        <w:ind w:left="780" w:hanging="360"/>
      </w:pPr>
      <w:rPr>
        <w:rFonts w:ascii="Symbol" w:hAnsi="Symbol" w:hint="default"/>
      </w:rPr>
    </w:lvl>
    <w:lvl w:ilvl="1" w:tplc="0C0A0003" w:tentative="1">
      <w:start w:val="1"/>
      <w:numFmt w:val="bullet"/>
      <w:lvlText w:val="o"/>
      <w:lvlJc w:val="left"/>
      <w:pPr>
        <w:ind w:left="1500" w:hanging="360"/>
      </w:pPr>
      <w:rPr>
        <w:rFonts w:ascii="Courier New" w:hAnsi="Courier New" w:cs="Courier New" w:hint="default"/>
      </w:rPr>
    </w:lvl>
    <w:lvl w:ilvl="2" w:tplc="0C0A0005" w:tentative="1">
      <w:start w:val="1"/>
      <w:numFmt w:val="bullet"/>
      <w:lvlText w:val=""/>
      <w:lvlJc w:val="left"/>
      <w:pPr>
        <w:ind w:left="2220" w:hanging="360"/>
      </w:pPr>
      <w:rPr>
        <w:rFonts w:ascii="Wingdings" w:hAnsi="Wingdings" w:hint="default"/>
      </w:rPr>
    </w:lvl>
    <w:lvl w:ilvl="3" w:tplc="0C0A0001" w:tentative="1">
      <w:start w:val="1"/>
      <w:numFmt w:val="bullet"/>
      <w:lvlText w:val=""/>
      <w:lvlJc w:val="left"/>
      <w:pPr>
        <w:ind w:left="2940" w:hanging="360"/>
      </w:pPr>
      <w:rPr>
        <w:rFonts w:ascii="Symbol" w:hAnsi="Symbol" w:hint="default"/>
      </w:rPr>
    </w:lvl>
    <w:lvl w:ilvl="4" w:tplc="0C0A0003" w:tentative="1">
      <w:start w:val="1"/>
      <w:numFmt w:val="bullet"/>
      <w:lvlText w:val="o"/>
      <w:lvlJc w:val="left"/>
      <w:pPr>
        <w:ind w:left="3660" w:hanging="360"/>
      </w:pPr>
      <w:rPr>
        <w:rFonts w:ascii="Courier New" w:hAnsi="Courier New" w:cs="Courier New" w:hint="default"/>
      </w:rPr>
    </w:lvl>
    <w:lvl w:ilvl="5" w:tplc="0C0A0005" w:tentative="1">
      <w:start w:val="1"/>
      <w:numFmt w:val="bullet"/>
      <w:lvlText w:val=""/>
      <w:lvlJc w:val="left"/>
      <w:pPr>
        <w:ind w:left="4380" w:hanging="360"/>
      </w:pPr>
      <w:rPr>
        <w:rFonts w:ascii="Wingdings" w:hAnsi="Wingdings" w:hint="default"/>
      </w:rPr>
    </w:lvl>
    <w:lvl w:ilvl="6" w:tplc="0C0A0001" w:tentative="1">
      <w:start w:val="1"/>
      <w:numFmt w:val="bullet"/>
      <w:lvlText w:val=""/>
      <w:lvlJc w:val="left"/>
      <w:pPr>
        <w:ind w:left="5100" w:hanging="360"/>
      </w:pPr>
      <w:rPr>
        <w:rFonts w:ascii="Symbol" w:hAnsi="Symbol" w:hint="default"/>
      </w:rPr>
    </w:lvl>
    <w:lvl w:ilvl="7" w:tplc="0C0A0003" w:tentative="1">
      <w:start w:val="1"/>
      <w:numFmt w:val="bullet"/>
      <w:lvlText w:val="o"/>
      <w:lvlJc w:val="left"/>
      <w:pPr>
        <w:ind w:left="5820" w:hanging="360"/>
      </w:pPr>
      <w:rPr>
        <w:rFonts w:ascii="Courier New" w:hAnsi="Courier New" w:cs="Courier New" w:hint="default"/>
      </w:rPr>
    </w:lvl>
    <w:lvl w:ilvl="8" w:tplc="0C0A0005" w:tentative="1">
      <w:start w:val="1"/>
      <w:numFmt w:val="bullet"/>
      <w:lvlText w:val=""/>
      <w:lvlJc w:val="left"/>
      <w:pPr>
        <w:ind w:left="6540" w:hanging="360"/>
      </w:pPr>
      <w:rPr>
        <w:rFonts w:ascii="Wingdings" w:hAnsi="Wingdings" w:hint="default"/>
      </w:rPr>
    </w:lvl>
  </w:abstractNum>
  <w:abstractNum w:abstractNumId="6" w15:restartNumberingAfterBreak="0">
    <w:nsid w:val="3E7A0655"/>
    <w:multiLevelType w:val="hybridMultilevel"/>
    <w:tmpl w:val="5C26B5E6"/>
    <w:lvl w:ilvl="0" w:tplc="240A0017">
      <w:start w:val="1"/>
      <w:numFmt w:val="lowerLetter"/>
      <w:lvlText w:val="%1)"/>
      <w:lvlJc w:val="left"/>
      <w:pPr>
        <w:ind w:left="720" w:hanging="360"/>
      </w:p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41B9119D"/>
    <w:multiLevelType w:val="hybridMultilevel"/>
    <w:tmpl w:val="64C69614"/>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8" w15:restartNumberingAfterBreak="0">
    <w:nsid w:val="54743F60"/>
    <w:multiLevelType w:val="hybridMultilevel"/>
    <w:tmpl w:val="2320E350"/>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55BC58AB"/>
    <w:multiLevelType w:val="hybridMultilevel"/>
    <w:tmpl w:val="920E917A"/>
    <w:lvl w:ilvl="0" w:tplc="F4D084A8">
      <w:start w:val="1"/>
      <w:numFmt w:val="low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56E560A0"/>
    <w:multiLevelType w:val="multilevel"/>
    <w:tmpl w:val="FF3AD6E8"/>
    <w:lvl w:ilvl="0">
      <w:numFmt w:val="decimal"/>
      <w:pStyle w:val="Ttulo1"/>
      <w:lvlText w:val="%1"/>
      <w:lvlJc w:val="left"/>
      <w:pPr>
        <w:ind w:left="432" w:hanging="432"/>
      </w:pPr>
      <w:rPr>
        <w:rFonts w:hint="default"/>
      </w:rPr>
    </w:lvl>
    <w:lvl w:ilvl="1">
      <w:start w:val="1"/>
      <w:numFmt w:val="decimal"/>
      <w:pStyle w:val="Ttulo2"/>
      <w:lvlText w:val="%1.%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11" w15:restartNumberingAfterBreak="0">
    <w:nsid w:val="58312011"/>
    <w:multiLevelType w:val="hybridMultilevel"/>
    <w:tmpl w:val="D98A3AD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596A7DA0"/>
    <w:multiLevelType w:val="hybridMultilevel"/>
    <w:tmpl w:val="7E74C4D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5D1A65A2"/>
    <w:multiLevelType w:val="hybridMultilevel"/>
    <w:tmpl w:val="797024AC"/>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15:restartNumberingAfterBreak="0">
    <w:nsid w:val="5F3D741F"/>
    <w:multiLevelType w:val="hybridMultilevel"/>
    <w:tmpl w:val="DCBCC4D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61584A35"/>
    <w:multiLevelType w:val="hybridMultilevel"/>
    <w:tmpl w:val="125A776C"/>
    <w:lvl w:ilvl="0" w:tplc="869C803C">
      <w:numFmt w:val="bullet"/>
      <w:lvlText w:val="-"/>
      <w:lvlJc w:val="left"/>
      <w:pPr>
        <w:ind w:left="720" w:hanging="360"/>
      </w:pPr>
      <w:rPr>
        <w:rFonts w:ascii="RotisSansSerif" w:eastAsiaTheme="minorHAnsi" w:hAnsi="RotisSansSerif" w:cs="Aria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62FC23D5"/>
    <w:multiLevelType w:val="hybridMultilevel"/>
    <w:tmpl w:val="44222C8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6644036D"/>
    <w:multiLevelType w:val="hybridMultilevel"/>
    <w:tmpl w:val="5B8222B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7B2F1FA8"/>
    <w:multiLevelType w:val="hybridMultilevel"/>
    <w:tmpl w:val="622211CA"/>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num w:numId="1">
    <w:abstractNumId w:val="6"/>
  </w:num>
  <w:num w:numId="2">
    <w:abstractNumId w:val="5"/>
  </w:num>
  <w:num w:numId="3">
    <w:abstractNumId w:val="16"/>
  </w:num>
  <w:num w:numId="4">
    <w:abstractNumId w:val="13"/>
  </w:num>
  <w:num w:numId="5">
    <w:abstractNumId w:val="4"/>
  </w:num>
  <w:num w:numId="6">
    <w:abstractNumId w:val="18"/>
  </w:num>
  <w:num w:numId="7">
    <w:abstractNumId w:val="10"/>
  </w:num>
  <w:num w:numId="8">
    <w:abstractNumId w:val="1"/>
  </w:num>
  <w:num w:numId="9">
    <w:abstractNumId w:val="12"/>
  </w:num>
  <w:num w:numId="10">
    <w:abstractNumId w:val="2"/>
  </w:num>
  <w:num w:numId="11">
    <w:abstractNumId w:val="8"/>
  </w:num>
  <w:num w:numId="12">
    <w:abstractNumId w:val="7"/>
  </w:num>
  <w:num w:numId="13">
    <w:abstractNumId w:val="9"/>
  </w:num>
  <w:num w:numId="14">
    <w:abstractNumId w:val="17"/>
  </w:num>
  <w:num w:numId="15">
    <w:abstractNumId w:val="15"/>
  </w:num>
  <w:num w:numId="16">
    <w:abstractNumId w:val="11"/>
  </w:num>
  <w:num w:numId="17">
    <w:abstractNumId w:val="0"/>
  </w:num>
  <w:num w:numId="18">
    <w:abstractNumId w:val="3"/>
  </w:num>
  <w:num w:numId="19">
    <w:abstractNumId w:val="14"/>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n-US" w:vendorID="64" w:dllVersion="131078" w:nlCheck="1" w:checkStyle="1"/>
  <w:activeWritingStyle w:appName="MSWord" w:lang="es-CO" w:vendorID="64" w:dllVersion="131078" w:nlCheck="1" w:checkStyle="1"/>
  <w:activeWritingStyle w:appName="MSWord" w:lang="fr-FR" w:vendorID="64" w:dllVersion="131078" w:nlCheck="1" w:checkStyle="1"/>
  <w:activeWritingStyle w:appName="MSWord" w:lang="es-ES" w:vendorID="64" w:dllVersion="131078" w:nlCheck="1" w:checkStyle="1"/>
  <w:defaultTabStop w:val="708"/>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6A31"/>
    <w:rsid w:val="0000020A"/>
    <w:rsid w:val="0000079C"/>
    <w:rsid w:val="0000216D"/>
    <w:rsid w:val="000033A2"/>
    <w:rsid w:val="0000565E"/>
    <w:rsid w:val="000056BA"/>
    <w:rsid w:val="000063DF"/>
    <w:rsid w:val="0000789A"/>
    <w:rsid w:val="00011A9F"/>
    <w:rsid w:val="0001214A"/>
    <w:rsid w:val="000144A2"/>
    <w:rsid w:val="000152FF"/>
    <w:rsid w:val="0001656D"/>
    <w:rsid w:val="00016D58"/>
    <w:rsid w:val="00017C54"/>
    <w:rsid w:val="00020508"/>
    <w:rsid w:val="00021018"/>
    <w:rsid w:val="000226A9"/>
    <w:rsid w:val="00023E51"/>
    <w:rsid w:val="00024969"/>
    <w:rsid w:val="00024C8C"/>
    <w:rsid w:val="00024E93"/>
    <w:rsid w:val="0002525F"/>
    <w:rsid w:val="000267F7"/>
    <w:rsid w:val="00026978"/>
    <w:rsid w:val="00027CBA"/>
    <w:rsid w:val="0003074F"/>
    <w:rsid w:val="0003079D"/>
    <w:rsid w:val="000318CC"/>
    <w:rsid w:val="00031A26"/>
    <w:rsid w:val="00031E6D"/>
    <w:rsid w:val="00031F32"/>
    <w:rsid w:val="00033A06"/>
    <w:rsid w:val="00034B4E"/>
    <w:rsid w:val="00035FC6"/>
    <w:rsid w:val="000401BA"/>
    <w:rsid w:val="00040360"/>
    <w:rsid w:val="00042804"/>
    <w:rsid w:val="0004429B"/>
    <w:rsid w:val="00047B54"/>
    <w:rsid w:val="000523FD"/>
    <w:rsid w:val="000537D7"/>
    <w:rsid w:val="00054E9A"/>
    <w:rsid w:val="000640F4"/>
    <w:rsid w:val="00065B7B"/>
    <w:rsid w:val="000663BF"/>
    <w:rsid w:val="00066F5F"/>
    <w:rsid w:val="00071578"/>
    <w:rsid w:val="00072008"/>
    <w:rsid w:val="0007205D"/>
    <w:rsid w:val="000742C1"/>
    <w:rsid w:val="000743A2"/>
    <w:rsid w:val="00077C11"/>
    <w:rsid w:val="00080400"/>
    <w:rsid w:val="00080DDC"/>
    <w:rsid w:val="000830EA"/>
    <w:rsid w:val="000834D1"/>
    <w:rsid w:val="00084B70"/>
    <w:rsid w:val="0008531A"/>
    <w:rsid w:val="00085A54"/>
    <w:rsid w:val="00085D7F"/>
    <w:rsid w:val="00085DB1"/>
    <w:rsid w:val="000909DF"/>
    <w:rsid w:val="00091795"/>
    <w:rsid w:val="000934AF"/>
    <w:rsid w:val="00093766"/>
    <w:rsid w:val="0009511F"/>
    <w:rsid w:val="00095D70"/>
    <w:rsid w:val="000A0280"/>
    <w:rsid w:val="000A0BBE"/>
    <w:rsid w:val="000A3DD0"/>
    <w:rsid w:val="000A3E84"/>
    <w:rsid w:val="000A520D"/>
    <w:rsid w:val="000A6BB4"/>
    <w:rsid w:val="000B06E5"/>
    <w:rsid w:val="000B3BD9"/>
    <w:rsid w:val="000C0884"/>
    <w:rsid w:val="000C2601"/>
    <w:rsid w:val="000C2A64"/>
    <w:rsid w:val="000C3ACF"/>
    <w:rsid w:val="000C3CF8"/>
    <w:rsid w:val="000C3F3A"/>
    <w:rsid w:val="000C56A6"/>
    <w:rsid w:val="000C5FD2"/>
    <w:rsid w:val="000C637A"/>
    <w:rsid w:val="000C7575"/>
    <w:rsid w:val="000D1911"/>
    <w:rsid w:val="000D22C7"/>
    <w:rsid w:val="000D276A"/>
    <w:rsid w:val="000D2904"/>
    <w:rsid w:val="000D30B9"/>
    <w:rsid w:val="000D3752"/>
    <w:rsid w:val="000D505B"/>
    <w:rsid w:val="000D7451"/>
    <w:rsid w:val="000E0964"/>
    <w:rsid w:val="000E1EFC"/>
    <w:rsid w:val="000E22EA"/>
    <w:rsid w:val="000E26C8"/>
    <w:rsid w:val="000E28EF"/>
    <w:rsid w:val="000E3077"/>
    <w:rsid w:val="000E3610"/>
    <w:rsid w:val="000E3D73"/>
    <w:rsid w:val="000E4E77"/>
    <w:rsid w:val="000E59A4"/>
    <w:rsid w:val="000E66D4"/>
    <w:rsid w:val="000E710D"/>
    <w:rsid w:val="000E735B"/>
    <w:rsid w:val="000F00BB"/>
    <w:rsid w:val="000F0978"/>
    <w:rsid w:val="000F13CF"/>
    <w:rsid w:val="000F178C"/>
    <w:rsid w:val="000F285E"/>
    <w:rsid w:val="000F40F7"/>
    <w:rsid w:val="000F4753"/>
    <w:rsid w:val="00101DC7"/>
    <w:rsid w:val="00102323"/>
    <w:rsid w:val="00104916"/>
    <w:rsid w:val="00107C61"/>
    <w:rsid w:val="00110604"/>
    <w:rsid w:val="001137CC"/>
    <w:rsid w:val="00113839"/>
    <w:rsid w:val="00113999"/>
    <w:rsid w:val="00113F3A"/>
    <w:rsid w:val="00115B5E"/>
    <w:rsid w:val="00116090"/>
    <w:rsid w:val="00117A6C"/>
    <w:rsid w:val="001209B4"/>
    <w:rsid w:val="00122CC4"/>
    <w:rsid w:val="00127484"/>
    <w:rsid w:val="001302C6"/>
    <w:rsid w:val="00130728"/>
    <w:rsid w:val="0013373B"/>
    <w:rsid w:val="001337C7"/>
    <w:rsid w:val="00134194"/>
    <w:rsid w:val="0013636E"/>
    <w:rsid w:val="001377FB"/>
    <w:rsid w:val="00137D21"/>
    <w:rsid w:val="001411C9"/>
    <w:rsid w:val="001415A6"/>
    <w:rsid w:val="00144FAA"/>
    <w:rsid w:val="00145C5F"/>
    <w:rsid w:val="00151B4F"/>
    <w:rsid w:val="00152958"/>
    <w:rsid w:val="00153F16"/>
    <w:rsid w:val="00156C8F"/>
    <w:rsid w:val="00157C20"/>
    <w:rsid w:val="00163CF8"/>
    <w:rsid w:val="00163EA0"/>
    <w:rsid w:val="0016484A"/>
    <w:rsid w:val="00164BA9"/>
    <w:rsid w:val="00164BDF"/>
    <w:rsid w:val="00165128"/>
    <w:rsid w:val="00166A88"/>
    <w:rsid w:val="001727C8"/>
    <w:rsid w:val="00174DF0"/>
    <w:rsid w:val="00176ABD"/>
    <w:rsid w:val="00177869"/>
    <w:rsid w:val="00183984"/>
    <w:rsid w:val="00183E40"/>
    <w:rsid w:val="001851C6"/>
    <w:rsid w:val="001872B6"/>
    <w:rsid w:val="00190887"/>
    <w:rsid w:val="00190B63"/>
    <w:rsid w:val="0019149C"/>
    <w:rsid w:val="00191850"/>
    <w:rsid w:val="00191E10"/>
    <w:rsid w:val="001922BD"/>
    <w:rsid w:val="0019294E"/>
    <w:rsid w:val="00193B62"/>
    <w:rsid w:val="00194C82"/>
    <w:rsid w:val="00196701"/>
    <w:rsid w:val="001A1D72"/>
    <w:rsid w:val="001A4391"/>
    <w:rsid w:val="001A5CC5"/>
    <w:rsid w:val="001A7A86"/>
    <w:rsid w:val="001B24A9"/>
    <w:rsid w:val="001B3087"/>
    <w:rsid w:val="001B69CB"/>
    <w:rsid w:val="001B7417"/>
    <w:rsid w:val="001B7528"/>
    <w:rsid w:val="001B7F53"/>
    <w:rsid w:val="001C3D0E"/>
    <w:rsid w:val="001C64C5"/>
    <w:rsid w:val="001D04B3"/>
    <w:rsid w:val="001D133D"/>
    <w:rsid w:val="001D2103"/>
    <w:rsid w:val="001D3043"/>
    <w:rsid w:val="001D374A"/>
    <w:rsid w:val="001D37E8"/>
    <w:rsid w:val="001D486E"/>
    <w:rsid w:val="001D6AE3"/>
    <w:rsid w:val="001E21FE"/>
    <w:rsid w:val="001E3382"/>
    <w:rsid w:val="001E3F9D"/>
    <w:rsid w:val="001E438F"/>
    <w:rsid w:val="001E4DFE"/>
    <w:rsid w:val="001E5706"/>
    <w:rsid w:val="001F1186"/>
    <w:rsid w:val="001F1559"/>
    <w:rsid w:val="001F4167"/>
    <w:rsid w:val="001F5698"/>
    <w:rsid w:val="001F57C8"/>
    <w:rsid w:val="001F6056"/>
    <w:rsid w:val="002002D2"/>
    <w:rsid w:val="00202488"/>
    <w:rsid w:val="002032EC"/>
    <w:rsid w:val="002074EE"/>
    <w:rsid w:val="00210377"/>
    <w:rsid w:val="002115D4"/>
    <w:rsid w:val="00211FF5"/>
    <w:rsid w:val="00212874"/>
    <w:rsid w:val="002132F7"/>
    <w:rsid w:val="0021426B"/>
    <w:rsid w:val="0021465D"/>
    <w:rsid w:val="00215B1D"/>
    <w:rsid w:val="00216D68"/>
    <w:rsid w:val="00217F6E"/>
    <w:rsid w:val="00217FB4"/>
    <w:rsid w:val="00220584"/>
    <w:rsid w:val="002243E3"/>
    <w:rsid w:val="00225DBE"/>
    <w:rsid w:val="002260F3"/>
    <w:rsid w:val="002276C4"/>
    <w:rsid w:val="00227C45"/>
    <w:rsid w:val="00230A57"/>
    <w:rsid w:val="00232C39"/>
    <w:rsid w:val="00234B21"/>
    <w:rsid w:val="002371E0"/>
    <w:rsid w:val="00240906"/>
    <w:rsid w:val="00241739"/>
    <w:rsid w:val="00241B78"/>
    <w:rsid w:val="00241DA2"/>
    <w:rsid w:val="00244287"/>
    <w:rsid w:val="00244C0F"/>
    <w:rsid w:val="0024523D"/>
    <w:rsid w:val="00246144"/>
    <w:rsid w:val="00250B7C"/>
    <w:rsid w:val="002521DF"/>
    <w:rsid w:val="0025242B"/>
    <w:rsid w:val="00253486"/>
    <w:rsid w:val="002557C5"/>
    <w:rsid w:val="002559B0"/>
    <w:rsid w:val="0025673C"/>
    <w:rsid w:val="00256A9A"/>
    <w:rsid w:val="00260ABC"/>
    <w:rsid w:val="0026118C"/>
    <w:rsid w:val="002616E6"/>
    <w:rsid w:val="00261804"/>
    <w:rsid w:val="00262535"/>
    <w:rsid w:val="00262F02"/>
    <w:rsid w:val="0026386E"/>
    <w:rsid w:val="00263B4E"/>
    <w:rsid w:val="00266947"/>
    <w:rsid w:val="002676F3"/>
    <w:rsid w:val="002678F8"/>
    <w:rsid w:val="0027308E"/>
    <w:rsid w:val="00274A7C"/>
    <w:rsid w:val="00276E8C"/>
    <w:rsid w:val="002774AB"/>
    <w:rsid w:val="00277865"/>
    <w:rsid w:val="00277B26"/>
    <w:rsid w:val="00277CB5"/>
    <w:rsid w:val="0028039E"/>
    <w:rsid w:val="00280629"/>
    <w:rsid w:val="00280874"/>
    <w:rsid w:val="0028179C"/>
    <w:rsid w:val="0028253C"/>
    <w:rsid w:val="00283DAE"/>
    <w:rsid w:val="00284D9A"/>
    <w:rsid w:val="00284F41"/>
    <w:rsid w:val="002854BF"/>
    <w:rsid w:val="00285995"/>
    <w:rsid w:val="00286BFF"/>
    <w:rsid w:val="002916C0"/>
    <w:rsid w:val="00291AFB"/>
    <w:rsid w:val="00293160"/>
    <w:rsid w:val="00293183"/>
    <w:rsid w:val="002944EF"/>
    <w:rsid w:val="0029516B"/>
    <w:rsid w:val="0029625C"/>
    <w:rsid w:val="002A07E4"/>
    <w:rsid w:val="002A11D6"/>
    <w:rsid w:val="002A27DF"/>
    <w:rsid w:val="002A728C"/>
    <w:rsid w:val="002A7CD0"/>
    <w:rsid w:val="002B01ED"/>
    <w:rsid w:val="002B0577"/>
    <w:rsid w:val="002B29B9"/>
    <w:rsid w:val="002B2C85"/>
    <w:rsid w:val="002B373F"/>
    <w:rsid w:val="002B3FA3"/>
    <w:rsid w:val="002B422E"/>
    <w:rsid w:val="002B44C4"/>
    <w:rsid w:val="002B4E45"/>
    <w:rsid w:val="002B5224"/>
    <w:rsid w:val="002B68F9"/>
    <w:rsid w:val="002B6ECF"/>
    <w:rsid w:val="002C2F1B"/>
    <w:rsid w:val="002C422D"/>
    <w:rsid w:val="002C456D"/>
    <w:rsid w:val="002D45AE"/>
    <w:rsid w:val="002D6E42"/>
    <w:rsid w:val="002F6C70"/>
    <w:rsid w:val="00302B29"/>
    <w:rsid w:val="003035F1"/>
    <w:rsid w:val="00303BE8"/>
    <w:rsid w:val="00303EAB"/>
    <w:rsid w:val="003067C3"/>
    <w:rsid w:val="0030709E"/>
    <w:rsid w:val="00310B0D"/>
    <w:rsid w:val="00311391"/>
    <w:rsid w:val="00314FD7"/>
    <w:rsid w:val="00315A36"/>
    <w:rsid w:val="003173C8"/>
    <w:rsid w:val="003225A1"/>
    <w:rsid w:val="00323BC7"/>
    <w:rsid w:val="003248E3"/>
    <w:rsid w:val="003249BB"/>
    <w:rsid w:val="0032563E"/>
    <w:rsid w:val="00325E5F"/>
    <w:rsid w:val="003265B8"/>
    <w:rsid w:val="00326EB4"/>
    <w:rsid w:val="00330082"/>
    <w:rsid w:val="00330A2A"/>
    <w:rsid w:val="00330D9C"/>
    <w:rsid w:val="003350C8"/>
    <w:rsid w:val="00336CC6"/>
    <w:rsid w:val="00337593"/>
    <w:rsid w:val="00337B06"/>
    <w:rsid w:val="00340C75"/>
    <w:rsid w:val="00340E1B"/>
    <w:rsid w:val="00341140"/>
    <w:rsid w:val="00341CDF"/>
    <w:rsid w:val="00342D66"/>
    <w:rsid w:val="003457A1"/>
    <w:rsid w:val="0034580D"/>
    <w:rsid w:val="00346AF7"/>
    <w:rsid w:val="00346C5B"/>
    <w:rsid w:val="0035142E"/>
    <w:rsid w:val="0035266A"/>
    <w:rsid w:val="00354FAF"/>
    <w:rsid w:val="00355053"/>
    <w:rsid w:val="0035532B"/>
    <w:rsid w:val="00356351"/>
    <w:rsid w:val="00360135"/>
    <w:rsid w:val="00360AB4"/>
    <w:rsid w:val="00361F4B"/>
    <w:rsid w:val="00364532"/>
    <w:rsid w:val="00366F0F"/>
    <w:rsid w:val="00370E94"/>
    <w:rsid w:val="003729DA"/>
    <w:rsid w:val="00373BC9"/>
    <w:rsid w:val="0037441C"/>
    <w:rsid w:val="00374A26"/>
    <w:rsid w:val="00375CD8"/>
    <w:rsid w:val="00381830"/>
    <w:rsid w:val="00382BC6"/>
    <w:rsid w:val="00385D7C"/>
    <w:rsid w:val="0038688E"/>
    <w:rsid w:val="00391D6B"/>
    <w:rsid w:val="0039220C"/>
    <w:rsid w:val="00392712"/>
    <w:rsid w:val="00392E21"/>
    <w:rsid w:val="00394ACF"/>
    <w:rsid w:val="003957F9"/>
    <w:rsid w:val="00395822"/>
    <w:rsid w:val="003A28F0"/>
    <w:rsid w:val="003A432F"/>
    <w:rsid w:val="003A5D95"/>
    <w:rsid w:val="003A5DCF"/>
    <w:rsid w:val="003A5FFE"/>
    <w:rsid w:val="003A7817"/>
    <w:rsid w:val="003B0D24"/>
    <w:rsid w:val="003B25CE"/>
    <w:rsid w:val="003B72E9"/>
    <w:rsid w:val="003B7576"/>
    <w:rsid w:val="003B796E"/>
    <w:rsid w:val="003C0697"/>
    <w:rsid w:val="003C1D76"/>
    <w:rsid w:val="003C34FE"/>
    <w:rsid w:val="003C5D67"/>
    <w:rsid w:val="003C75E5"/>
    <w:rsid w:val="003C7F48"/>
    <w:rsid w:val="003D0C91"/>
    <w:rsid w:val="003D0D17"/>
    <w:rsid w:val="003D4177"/>
    <w:rsid w:val="003D47A3"/>
    <w:rsid w:val="003D4BE7"/>
    <w:rsid w:val="003D710B"/>
    <w:rsid w:val="003E2599"/>
    <w:rsid w:val="003E2C3E"/>
    <w:rsid w:val="003E2CF4"/>
    <w:rsid w:val="003E4578"/>
    <w:rsid w:val="003E4DC0"/>
    <w:rsid w:val="003E6FDE"/>
    <w:rsid w:val="003E7067"/>
    <w:rsid w:val="003F0838"/>
    <w:rsid w:val="003F0CB0"/>
    <w:rsid w:val="003F1303"/>
    <w:rsid w:val="003F272F"/>
    <w:rsid w:val="003F31B6"/>
    <w:rsid w:val="003F667D"/>
    <w:rsid w:val="003F6CD5"/>
    <w:rsid w:val="004013A8"/>
    <w:rsid w:val="00401C1D"/>
    <w:rsid w:val="00403C4D"/>
    <w:rsid w:val="00404204"/>
    <w:rsid w:val="004052DC"/>
    <w:rsid w:val="00406B1F"/>
    <w:rsid w:val="00407A15"/>
    <w:rsid w:val="00407E51"/>
    <w:rsid w:val="0041280F"/>
    <w:rsid w:val="00413AB7"/>
    <w:rsid w:val="00414112"/>
    <w:rsid w:val="00416A7B"/>
    <w:rsid w:val="0042553A"/>
    <w:rsid w:val="00426F26"/>
    <w:rsid w:val="00427AB4"/>
    <w:rsid w:val="0043024D"/>
    <w:rsid w:val="004302AD"/>
    <w:rsid w:val="004307CA"/>
    <w:rsid w:val="004314EE"/>
    <w:rsid w:val="00432AF1"/>
    <w:rsid w:val="00433EFA"/>
    <w:rsid w:val="004349F0"/>
    <w:rsid w:val="004357F1"/>
    <w:rsid w:val="00435A34"/>
    <w:rsid w:val="00435AF6"/>
    <w:rsid w:val="00435B88"/>
    <w:rsid w:val="004361D3"/>
    <w:rsid w:val="004377A0"/>
    <w:rsid w:val="004405BE"/>
    <w:rsid w:val="00441801"/>
    <w:rsid w:val="0044215E"/>
    <w:rsid w:val="00444FEF"/>
    <w:rsid w:val="00445B40"/>
    <w:rsid w:val="00445C5A"/>
    <w:rsid w:val="00446348"/>
    <w:rsid w:val="00450633"/>
    <w:rsid w:val="0045241E"/>
    <w:rsid w:val="0045535C"/>
    <w:rsid w:val="004553ED"/>
    <w:rsid w:val="0045666A"/>
    <w:rsid w:val="004571AC"/>
    <w:rsid w:val="0046009A"/>
    <w:rsid w:val="00460DAF"/>
    <w:rsid w:val="004617FD"/>
    <w:rsid w:val="004628A9"/>
    <w:rsid w:val="004651D4"/>
    <w:rsid w:val="004656C2"/>
    <w:rsid w:val="00466893"/>
    <w:rsid w:val="00471795"/>
    <w:rsid w:val="004726A3"/>
    <w:rsid w:val="004727A1"/>
    <w:rsid w:val="004734DF"/>
    <w:rsid w:val="00477A8B"/>
    <w:rsid w:val="004837D5"/>
    <w:rsid w:val="004838D0"/>
    <w:rsid w:val="00483B50"/>
    <w:rsid w:val="00484516"/>
    <w:rsid w:val="00485C9C"/>
    <w:rsid w:val="00486CE7"/>
    <w:rsid w:val="0049128D"/>
    <w:rsid w:val="0049192C"/>
    <w:rsid w:val="00492F84"/>
    <w:rsid w:val="00494A3B"/>
    <w:rsid w:val="00494DB2"/>
    <w:rsid w:val="00496C55"/>
    <w:rsid w:val="00497083"/>
    <w:rsid w:val="0049745F"/>
    <w:rsid w:val="004A3931"/>
    <w:rsid w:val="004A450F"/>
    <w:rsid w:val="004A6FA5"/>
    <w:rsid w:val="004A7336"/>
    <w:rsid w:val="004B02EC"/>
    <w:rsid w:val="004B0836"/>
    <w:rsid w:val="004B2DD4"/>
    <w:rsid w:val="004B54A6"/>
    <w:rsid w:val="004B605C"/>
    <w:rsid w:val="004B7876"/>
    <w:rsid w:val="004C1EC5"/>
    <w:rsid w:val="004C39F8"/>
    <w:rsid w:val="004C3FD5"/>
    <w:rsid w:val="004C4162"/>
    <w:rsid w:val="004C527F"/>
    <w:rsid w:val="004C5950"/>
    <w:rsid w:val="004C6726"/>
    <w:rsid w:val="004D02D7"/>
    <w:rsid w:val="004D057C"/>
    <w:rsid w:val="004D18D9"/>
    <w:rsid w:val="004D1A7A"/>
    <w:rsid w:val="004D1C82"/>
    <w:rsid w:val="004D257E"/>
    <w:rsid w:val="004D3B6A"/>
    <w:rsid w:val="004D3FC9"/>
    <w:rsid w:val="004D5DD9"/>
    <w:rsid w:val="004D6451"/>
    <w:rsid w:val="004D7DCB"/>
    <w:rsid w:val="004E235C"/>
    <w:rsid w:val="004E3180"/>
    <w:rsid w:val="004E3412"/>
    <w:rsid w:val="004E41B1"/>
    <w:rsid w:val="004E4A66"/>
    <w:rsid w:val="004E503B"/>
    <w:rsid w:val="004E73B2"/>
    <w:rsid w:val="004E7A94"/>
    <w:rsid w:val="004F0198"/>
    <w:rsid w:val="004F09A2"/>
    <w:rsid w:val="004F0A8B"/>
    <w:rsid w:val="004F1A87"/>
    <w:rsid w:val="004F4AD1"/>
    <w:rsid w:val="00502CE9"/>
    <w:rsid w:val="00505272"/>
    <w:rsid w:val="0050738D"/>
    <w:rsid w:val="00507642"/>
    <w:rsid w:val="005114DA"/>
    <w:rsid w:val="00512DB9"/>
    <w:rsid w:val="00513F4D"/>
    <w:rsid w:val="00513F6D"/>
    <w:rsid w:val="00514761"/>
    <w:rsid w:val="00514927"/>
    <w:rsid w:val="005173DA"/>
    <w:rsid w:val="005212B0"/>
    <w:rsid w:val="00526496"/>
    <w:rsid w:val="0052775D"/>
    <w:rsid w:val="0053112C"/>
    <w:rsid w:val="00531838"/>
    <w:rsid w:val="00532E06"/>
    <w:rsid w:val="00534AFA"/>
    <w:rsid w:val="00534CC6"/>
    <w:rsid w:val="00534E1E"/>
    <w:rsid w:val="005359D9"/>
    <w:rsid w:val="00535B82"/>
    <w:rsid w:val="0053671B"/>
    <w:rsid w:val="005368B1"/>
    <w:rsid w:val="00536A4B"/>
    <w:rsid w:val="00536BC1"/>
    <w:rsid w:val="00536D1A"/>
    <w:rsid w:val="00537F86"/>
    <w:rsid w:val="00541247"/>
    <w:rsid w:val="00541ED4"/>
    <w:rsid w:val="00542C27"/>
    <w:rsid w:val="00544115"/>
    <w:rsid w:val="005450BE"/>
    <w:rsid w:val="00545B26"/>
    <w:rsid w:val="00545E51"/>
    <w:rsid w:val="005504ED"/>
    <w:rsid w:val="00552BBB"/>
    <w:rsid w:val="00554457"/>
    <w:rsid w:val="0055455C"/>
    <w:rsid w:val="00560263"/>
    <w:rsid w:val="005612F9"/>
    <w:rsid w:val="005629A1"/>
    <w:rsid w:val="00566AEA"/>
    <w:rsid w:val="00570230"/>
    <w:rsid w:val="00572399"/>
    <w:rsid w:val="00572769"/>
    <w:rsid w:val="00573136"/>
    <w:rsid w:val="00573483"/>
    <w:rsid w:val="00574F42"/>
    <w:rsid w:val="00575912"/>
    <w:rsid w:val="00575B15"/>
    <w:rsid w:val="00580682"/>
    <w:rsid w:val="00584963"/>
    <w:rsid w:val="00585C1F"/>
    <w:rsid w:val="00585D3C"/>
    <w:rsid w:val="005876DE"/>
    <w:rsid w:val="005909C6"/>
    <w:rsid w:val="00593B7A"/>
    <w:rsid w:val="005950D8"/>
    <w:rsid w:val="00596971"/>
    <w:rsid w:val="00596A8D"/>
    <w:rsid w:val="005A15DB"/>
    <w:rsid w:val="005A2081"/>
    <w:rsid w:val="005A24E1"/>
    <w:rsid w:val="005A40E2"/>
    <w:rsid w:val="005A7835"/>
    <w:rsid w:val="005A7BBF"/>
    <w:rsid w:val="005B0891"/>
    <w:rsid w:val="005B6323"/>
    <w:rsid w:val="005C00E5"/>
    <w:rsid w:val="005C06EE"/>
    <w:rsid w:val="005C1B64"/>
    <w:rsid w:val="005C2314"/>
    <w:rsid w:val="005C6818"/>
    <w:rsid w:val="005D10C1"/>
    <w:rsid w:val="005D1333"/>
    <w:rsid w:val="005D1CC4"/>
    <w:rsid w:val="005D206D"/>
    <w:rsid w:val="005D32BC"/>
    <w:rsid w:val="005D41D1"/>
    <w:rsid w:val="005D506B"/>
    <w:rsid w:val="005D622D"/>
    <w:rsid w:val="005D6496"/>
    <w:rsid w:val="005E12A3"/>
    <w:rsid w:val="005E26A2"/>
    <w:rsid w:val="005E30D0"/>
    <w:rsid w:val="005E391F"/>
    <w:rsid w:val="005E5442"/>
    <w:rsid w:val="005E60B9"/>
    <w:rsid w:val="005E7635"/>
    <w:rsid w:val="005E7ED7"/>
    <w:rsid w:val="005F00AC"/>
    <w:rsid w:val="005F45F3"/>
    <w:rsid w:val="005F55CC"/>
    <w:rsid w:val="005F5F73"/>
    <w:rsid w:val="005F63E8"/>
    <w:rsid w:val="00600F11"/>
    <w:rsid w:val="006016DB"/>
    <w:rsid w:val="00602378"/>
    <w:rsid w:val="006043CB"/>
    <w:rsid w:val="006052CF"/>
    <w:rsid w:val="006106EA"/>
    <w:rsid w:val="006151F1"/>
    <w:rsid w:val="00616C05"/>
    <w:rsid w:val="00620921"/>
    <w:rsid w:val="00624205"/>
    <w:rsid w:val="00624B29"/>
    <w:rsid w:val="00625C8B"/>
    <w:rsid w:val="00630A74"/>
    <w:rsid w:val="00633D5E"/>
    <w:rsid w:val="00634C17"/>
    <w:rsid w:val="00637B64"/>
    <w:rsid w:val="00640704"/>
    <w:rsid w:val="00640DF8"/>
    <w:rsid w:val="00644174"/>
    <w:rsid w:val="00645582"/>
    <w:rsid w:val="00645BED"/>
    <w:rsid w:val="0065013D"/>
    <w:rsid w:val="006502BD"/>
    <w:rsid w:val="00651427"/>
    <w:rsid w:val="00651A3A"/>
    <w:rsid w:val="00653085"/>
    <w:rsid w:val="0065387C"/>
    <w:rsid w:val="0065577B"/>
    <w:rsid w:val="00656256"/>
    <w:rsid w:val="00656DF9"/>
    <w:rsid w:val="00657688"/>
    <w:rsid w:val="00663D2A"/>
    <w:rsid w:val="00664014"/>
    <w:rsid w:val="00665B7A"/>
    <w:rsid w:val="006765E3"/>
    <w:rsid w:val="00680202"/>
    <w:rsid w:val="00681892"/>
    <w:rsid w:val="00682AED"/>
    <w:rsid w:val="00682F84"/>
    <w:rsid w:val="00683097"/>
    <w:rsid w:val="00684687"/>
    <w:rsid w:val="0068477E"/>
    <w:rsid w:val="0068544D"/>
    <w:rsid w:val="006862C7"/>
    <w:rsid w:val="00687253"/>
    <w:rsid w:val="0069140D"/>
    <w:rsid w:val="0069152E"/>
    <w:rsid w:val="006916E9"/>
    <w:rsid w:val="0069227A"/>
    <w:rsid w:val="0069284E"/>
    <w:rsid w:val="00693A5B"/>
    <w:rsid w:val="00693CDE"/>
    <w:rsid w:val="0069469B"/>
    <w:rsid w:val="006964B7"/>
    <w:rsid w:val="00696E46"/>
    <w:rsid w:val="00697437"/>
    <w:rsid w:val="006A0EAA"/>
    <w:rsid w:val="006A10DA"/>
    <w:rsid w:val="006A307B"/>
    <w:rsid w:val="006A3970"/>
    <w:rsid w:val="006A49A7"/>
    <w:rsid w:val="006A4B51"/>
    <w:rsid w:val="006A57C2"/>
    <w:rsid w:val="006A76C6"/>
    <w:rsid w:val="006B0921"/>
    <w:rsid w:val="006B0940"/>
    <w:rsid w:val="006B0B4F"/>
    <w:rsid w:val="006B0C6E"/>
    <w:rsid w:val="006B1A85"/>
    <w:rsid w:val="006B25D4"/>
    <w:rsid w:val="006B343E"/>
    <w:rsid w:val="006B39D2"/>
    <w:rsid w:val="006B41AE"/>
    <w:rsid w:val="006B55C1"/>
    <w:rsid w:val="006B5F01"/>
    <w:rsid w:val="006B6638"/>
    <w:rsid w:val="006B6799"/>
    <w:rsid w:val="006B6840"/>
    <w:rsid w:val="006B7C26"/>
    <w:rsid w:val="006C153B"/>
    <w:rsid w:val="006C1AA5"/>
    <w:rsid w:val="006C2047"/>
    <w:rsid w:val="006C22D7"/>
    <w:rsid w:val="006C2483"/>
    <w:rsid w:val="006C4EC3"/>
    <w:rsid w:val="006D074C"/>
    <w:rsid w:val="006D1870"/>
    <w:rsid w:val="006D3F68"/>
    <w:rsid w:val="006D440E"/>
    <w:rsid w:val="006D45E5"/>
    <w:rsid w:val="006D4C6D"/>
    <w:rsid w:val="006E0AEF"/>
    <w:rsid w:val="006E0FA6"/>
    <w:rsid w:val="006E1E2B"/>
    <w:rsid w:val="006E1E8B"/>
    <w:rsid w:val="006E1EF9"/>
    <w:rsid w:val="006E612C"/>
    <w:rsid w:val="006E622F"/>
    <w:rsid w:val="006E62F6"/>
    <w:rsid w:val="006E63E2"/>
    <w:rsid w:val="006E6E63"/>
    <w:rsid w:val="006F0A0E"/>
    <w:rsid w:val="006F2EBC"/>
    <w:rsid w:val="006F49C6"/>
    <w:rsid w:val="006F4A04"/>
    <w:rsid w:val="006F4A55"/>
    <w:rsid w:val="006F4C77"/>
    <w:rsid w:val="006F6FF6"/>
    <w:rsid w:val="007004F0"/>
    <w:rsid w:val="0070186A"/>
    <w:rsid w:val="00702CF8"/>
    <w:rsid w:val="00702DC6"/>
    <w:rsid w:val="00704C89"/>
    <w:rsid w:val="00706384"/>
    <w:rsid w:val="0071070D"/>
    <w:rsid w:val="007114F5"/>
    <w:rsid w:val="00711C7F"/>
    <w:rsid w:val="00712BC6"/>
    <w:rsid w:val="007140DA"/>
    <w:rsid w:val="0072065E"/>
    <w:rsid w:val="00720FD3"/>
    <w:rsid w:val="00721A12"/>
    <w:rsid w:val="007245C8"/>
    <w:rsid w:val="00724FA7"/>
    <w:rsid w:val="00725205"/>
    <w:rsid w:val="00725B0E"/>
    <w:rsid w:val="007260F4"/>
    <w:rsid w:val="00726B1A"/>
    <w:rsid w:val="00727E93"/>
    <w:rsid w:val="00731C13"/>
    <w:rsid w:val="007327C5"/>
    <w:rsid w:val="007342A2"/>
    <w:rsid w:val="007351F1"/>
    <w:rsid w:val="00735EBD"/>
    <w:rsid w:val="00736133"/>
    <w:rsid w:val="007371C9"/>
    <w:rsid w:val="00740A17"/>
    <w:rsid w:val="00740C4A"/>
    <w:rsid w:val="00742A1C"/>
    <w:rsid w:val="00744D40"/>
    <w:rsid w:val="00745784"/>
    <w:rsid w:val="00746CA1"/>
    <w:rsid w:val="00746EB6"/>
    <w:rsid w:val="00750860"/>
    <w:rsid w:val="00751384"/>
    <w:rsid w:val="0075489F"/>
    <w:rsid w:val="00755385"/>
    <w:rsid w:val="007554FD"/>
    <w:rsid w:val="00757269"/>
    <w:rsid w:val="0076281A"/>
    <w:rsid w:val="00762AD5"/>
    <w:rsid w:val="007644B4"/>
    <w:rsid w:val="0076525C"/>
    <w:rsid w:val="007658D0"/>
    <w:rsid w:val="0076661F"/>
    <w:rsid w:val="00767436"/>
    <w:rsid w:val="00771102"/>
    <w:rsid w:val="007713A1"/>
    <w:rsid w:val="0077238D"/>
    <w:rsid w:val="00773810"/>
    <w:rsid w:val="00773A20"/>
    <w:rsid w:val="007742B3"/>
    <w:rsid w:val="00774A00"/>
    <w:rsid w:val="00775313"/>
    <w:rsid w:val="0077760A"/>
    <w:rsid w:val="0078245C"/>
    <w:rsid w:val="0078361E"/>
    <w:rsid w:val="0078598F"/>
    <w:rsid w:val="00786A31"/>
    <w:rsid w:val="00787549"/>
    <w:rsid w:val="007924A0"/>
    <w:rsid w:val="00792573"/>
    <w:rsid w:val="007935E6"/>
    <w:rsid w:val="007944E7"/>
    <w:rsid w:val="00795890"/>
    <w:rsid w:val="007966ED"/>
    <w:rsid w:val="00796E39"/>
    <w:rsid w:val="00797E00"/>
    <w:rsid w:val="007A157D"/>
    <w:rsid w:val="007A158B"/>
    <w:rsid w:val="007A5001"/>
    <w:rsid w:val="007A71E8"/>
    <w:rsid w:val="007A77DC"/>
    <w:rsid w:val="007A7D89"/>
    <w:rsid w:val="007B1160"/>
    <w:rsid w:val="007B29CD"/>
    <w:rsid w:val="007B340E"/>
    <w:rsid w:val="007B3835"/>
    <w:rsid w:val="007B3F87"/>
    <w:rsid w:val="007B5CA9"/>
    <w:rsid w:val="007C1208"/>
    <w:rsid w:val="007C2DBA"/>
    <w:rsid w:val="007C48B2"/>
    <w:rsid w:val="007D28B5"/>
    <w:rsid w:val="007D3838"/>
    <w:rsid w:val="007D6218"/>
    <w:rsid w:val="007E036D"/>
    <w:rsid w:val="007E0A7E"/>
    <w:rsid w:val="007E0D07"/>
    <w:rsid w:val="007E18BF"/>
    <w:rsid w:val="007E2FD2"/>
    <w:rsid w:val="007E4EFF"/>
    <w:rsid w:val="007F086A"/>
    <w:rsid w:val="007F150F"/>
    <w:rsid w:val="007F15EA"/>
    <w:rsid w:val="007F4064"/>
    <w:rsid w:val="007F598D"/>
    <w:rsid w:val="007F68F3"/>
    <w:rsid w:val="00801347"/>
    <w:rsid w:val="0080362E"/>
    <w:rsid w:val="0080480E"/>
    <w:rsid w:val="00804D9B"/>
    <w:rsid w:val="00805A55"/>
    <w:rsid w:val="008079AE"/>
    <w:rsid w:val="00810268"/>
    <w:rsid w:val="008108DE"/>
    <w:rsid w:val="0081173D"/>
    <w:rsid w:val="008134D6"/>
    <w:rsid w:val="00813E4F"/>
    <w:rsid w:val="008215D6"/>
    <w:rsid w:val="00821834"/>
    <w:rsid w:val="00821ABA"/>
    <w:rsid w:val="00825131"/>
    <w:rsid w:val="0082594A"/>
    <w:rsid w:val="00827F6E"/>
    <w:rsid w:val="00831641"/>
    <w:rsid w:val="0083300F"/>
    <w:rsid w:val="0083589E"/>
    <w:rsid w:val="00836112"/>
    <w:rsid w:val="00850684"/>
    <w:rsid w:val="0085091D"/>
    <w:rsid w:val="0085175C"/>
    <w:rsid w:val="00853035"/>
    <w:rsid w:val="00853D1C"/>
    <w:rsid w:val="00854965"/>
    <w:rsid w:val="008555F7"/>
    <w:rsid w:val="00860ABC"/>
    <w:rsid w:val="008616D2"/>
    <w:rsid w:val="00861CEF"/>
    <w:rsid w:val="008651C7"/>
    <w:rsid w:val="00865AA0"/>
    <w:rsid w:val="00867E34"/>
    <w:rsid w:val="00870AF8"/>
    <w:rsid w:val="008713DA"/>
    <w:rsid w:val="00871E0F"/>
    <w:rsid w:val="00876245"/>
    <w:rsid w:val="008763C1"/>
    <w:rsid w:val="0087744C"/>
    <w:rsid w:val="00877784"/>
    <w:rsid w:val="008818C9"/>
    <w:rsid w:val="00882207"/>
    <w:rsid w:val="00882D21"/>
    <w:rsid w:val="00886842"/>
    <w:rsid w:val="00887FCA"/>
    <w:rsid w:val="0089077D"/>
    <w:rsid w:val="008909AF"/>
    <w:rsid w:val="00891F15"/>
    <w:rsid w:val="008930EE"/>
    <w:rsid w:val="008935E4"/>
    <w:rsid w:val="00893ED1"/>
    <w:rsid w:val="00894758"/>
    <w:rsid w:val="00895B94"/>
    <w:rsid w:val="00897C39"/>
    <w:rsid w:val="008A0CF5"/>
    <w:rsid w:val="008A1FEF"/>
    <w:rsid w:val="008A404C"/>
    <w:rsid w:val="008A4FE1"/>
    <w:rsid w:val="008A7737"/>
    <w:rsid w:val="008A7BEB"/>
    <w:rsid w:val="008B150C"/>
    <w:rsid w:val="008B1E2B"/>
    <w:rsid w:val="008B1E9A"/>
    <w:rsid w:val="008B2341"/>
    <w:rsid w:val="008B4C7D"/>
    <w:rsid w:val="008B61E1"/>
    <w:rsid w:val="008C175A"/>
    <w:rsid w:val="008C17DB"/>
    <w:rsid w:val="008C201A"/>
    <w:rsid w:val="008C2DCA"/>
    <w:rsid w:val="008C6DFD"/>
    <w:rsid w:val="008D0136"/>
    <w:rsid w:val="008D10C7"/>
    <w:rsid w:val="008D29AF"/>
    <w:rsid w:val="008D2A6B"/>
    <w:rsid w:val="008D2E9C"/>
    <w:rsid w:val="008D4B4A"/>
    <w:rsid w:val="008D4D2C"/>
    <w:rsid w:val="008D4E2A"/>
    <w:rsid w:val="008D4EC1"/>
    <w:rsid w:val="008D6185"/>
    <w:rsid w:val="008E1331"/>
    <w:rsid w:val="008E41F9"/>
    <w:rsid w:val="008E443D"/>
    <w:rsid w:val="008E736A"/>
    <w:rsid w:val="008F3314"/>
    <w:rsid w:val="008F6ADD"/>
    <w:rsid w:val="008F6DA1"/>
    <w:rsid w:val="00904DCD"/>
    <w:rsid w:val="00905EA9"/>
    <w:rsid w:val="0090604A"/>
    <w:rsid w:val="00907565"/>
    <w:rsid w:val="009134DE"/>
    <w:rsid w:val="009141E6"/>
    <w:rsid w:val="00914CE8"/>
    <w:rsid w:val="00914DD9"/>
    <w:rsid w:val="00915733"/>
    <w:rsid w:val="0091624F"/>
    <w:rsid w:val="0092065E"/>
    <w:rsid w:val="00921B13"/>
    <w:rsid w:val="00922E19"/>
    <w:rsid w:val="009239E9"/>
    <w:rsid w:val="00925C3B"/>
    <w:rsid w:val="00925EDF"/>
    <w:rsid w:val="00926265"/>
    <w:rsid w:val="009266AA"/>
    <w:rsid w:val="00927AEB"/>
    <w:rsid w:val="00930D87"/>
    <w:rsid w:val="009316C8"/>
    <w:rsid w:val="00931921"/>
    <w:rsid w:val="00931976"/>
    <w:rsid w:val="00932EDF"/>
    <w:rsid w:val="00933F12"/>
    <w:rsid w:val="00934ABF"/>
    <w:rsid w:val="00940ED3"/>
    <w:rsid w:val="009418C6"/>
    <w:rsid w:val="00946097"/>
    <w:rsid w:val="0095046D"/>
    <w:rsid w:val="00950942"/>
    <w:rsid w:val="0095423D"/>
    <w:rsid w:val="0095785C"/>
    <w:rsid w:val="0096153E"/>
    <w:rsid w:val="00961970"/>
    <w:rsid w:val="00961B05"/>
    <w:rsid w:val="0096209D"/>
    <w:rsid w:val="00963E1F"/>
    <w:rsid w:val="00964826"/>
    <w:rsid w:val="00964F0E"/>
    <w:rsid w:val="00966FFF"/>
    <w:rsid w:val="009714C8"/>
    <w:rsid w:val="00972D0E"/>
    <w:rsid w:val="009747EB"/>
    <w:rsid w:val="00975272"/>
    <w:rsid w:val="009760D8"/>
    <w:rsid w:val="00976A0A"/>
    <w:rsid w:val="00977B81"/>
    <w:rsid w:val="00977B82"/>
    <w:rsid w:val="00977BD1"/>
    <w:rsid w:val="009806D6"/>
    <w:rsid w:val="009813D5"/>
    <w:rsid w:val="00981619"/>
    <w:rsid w:val="00982717"/>
    <w:rsid w:val="00982E3A"/>
    <w:rsid w:val="009866E4"/>
    <w:rsid w:val="00987EB1"/>
    <w:rsid w:val="00990094"/>
    <w:rsid w:val="0099065E"/>
    <w:rsid w:val="00991EA9"/>
    <w:rsid w:val="00993181"/>
    <w:rsid w:val="00995187"/>
    <w:rsid w:val="00995E78"/>
    <w:rsid w:val="009979E9"/>
    <w:rsid w:val="00997DCB"/>
    <w:rsid w:val="009A0128"/>
    <w:rsid w:val="009A16BB"/>
    <w:rsid w:val="009A2AA0"/>
    <w:rsid w:val="009A30AF"/>
    <w:rsid w:val="009A41DF"/>
    <w:rsid w:val="009B35F6"/>
    <w:rsid w:val="009B458B"/>
    <w:rsid w:val="009B5FA3"/>
    <w:rsid w:val="009B66A2"/>
    <w:rsid w:val="009B7BFD"/>
    <w:rsid w:val="009C06C6"/>
    <w:rsid w:val="009C1AA4"/>
    <w:rsid w:val="009C2BA3"/>
    <w:rsid w:val="009C3F8F"/>
    <w:rsid w:val="009C5665"/>
    <w:rsid w:val="009C6B43"/>
    <w:rsid w:val="009D180D"/>
    <w:rsid w:val="009D25C7"/>
    <w:rsid w:val="009D37DE"/>
    <w:rsid w:val="009D3817"/>
    <w:rsid w:val="009D3E47"/>
    <w:rsid w:val="009D403D"/>
    <w:rsid w:val="009D5261"/>
    <w:rsid w:val="009D7274"/>
    <w:rsid w:val="009D7917"/>
    <w:rsid w:val="009E004C"/>
    <w:rsid w:val="009E06C3"/>
    <w:rsid w:val="009E0FBC"/>
    <w:rsid w:val="009E38AA"/>
    <w:rsid w:val="009E405E"/>
    <w:rsid w:val="009E5357"/>
    <w:rsid w:val="009E53E4"/>
    <w:rsid w:val="009F0986"/>
    <w:rsid w:val="009F14A2"/>
    <w:rsid w:val="009F1988"/>
    <w:rsid w:val="009F21AB"/>
    <w:rsid w:val="009F4068"/>
    <w:rsid w:val="009F41FC"/>
    <w:rsid w:val="009F45D0"/>
    <w:rsid w:val="009F50D1"/>
    <w:rsid w:val="009F5350"/>
    <w:rsid w:val="009F549D"/>
    <w:rsid w:val="009F63E0"/>
    <w:rsid w:val="009F71E1"/>
    <w:rsid w:val="00A0034D"/>
    <w:rsid w:val="00A01A12"/>
    <w:rsid w:val="00A01F4A"/>
    <w:rsid w:val="00A02920"/>
    <w:rsid w:val="00A030AD"/>
    <w:rsid w:val="00A03263"/>
    <w:rsid w:val="00A035A4"/>
    <w:rsid w:val="00A03AE8"/>
    <w:rsid w:val="00A04AFD"/>
    <w:rsid w:val="00A04F2B"/>
    <w:rsid w:val="00A05623"/>
    <w:rsid w:val="00A068EC"/>
    <w:rsid w:val="00A072DD"/>
    <w:rsid w:val="00A10344"/>
    <w:rsid w:val="00A131EA"/>
    <w:rsid w:val="00A13F37"/>
    <w:rsid w:val="00A1680B"/>
    <w:rsid w:val="00A16CA6"/>
    <w:rsid w:val="00A214F3"/>
    <w:rsid w:val="00A21AA3"/>
    <w:rsid w:val="00A23614"/>
    <w:rsid w:val="00A2762A"/>
    <w:rsid w:val="00A324BB"/>
    <w:rsid w:val="00A32544"/>
    <w:rsid w:val="00A32FA4"/>
    <w:rsid w:val="00A33D34"/>
    <w:rsid w:val="00A36213"/>
    <w:rsid w:val="00A36555"/>
    <w:rsid w:val="00A37066"/>
    <w:rsid w:val="00A3765F"/>
    <w:rsid w:val="00A41CD7"/>
    <w:rsid w:val="00A42C9B"/>
    <w:rsid w:val="00A42D2E"/>
    <w:rsid w:val="00A4624F"/>
    <w:rsid w:val="00A46629"/>
    <w:rsid w:val="00A472CC"/>
    <w:rsid w:val="00A47FB5"/>
    <w:rsid w:val="00A5335F"/>
    <w:rsid w:val="00A54351"/>
    <w:rsid w:val="00A54FB0"/>
    <w:rsid w:val="00A56418"/>
    <w:rsid w:val="00A57282"/>
    <w:rsid w:val="00A57352"/>
    <w:rsid w:val="00A57515"/>
    <w:rsid w:val="00A62D7A"/>
    <w:rsid w:val="00A64E0C"/>
    <w:rsid w:val="00A72B86"/>
    <w:rsid w:val="00A73179"/>
    <w:rsid w:val="00A763B6"/>
    <w:rsid w:val="00A77A04"/>
    <w:rsid w:val="00A80394"/>
    <w:rsid w:val="00A8331B"/>
    <w:rsid w:val="00A839AE"/>
    <w:rsid w:val="00A847C6"/>
    <w:rsid w:val="00A8799C"/>
    <w:rsid w:val="00A9165A"/>
    <w:rsid w:val="00A92DD1"/>
    <w:rsid w:val="00A9350E"/>
    <w:rsid w:val="00A93CD9"/>
    <w:rsid w:val="00A94B87"/>
    <w:rsid w:val="00A94D13"/>
    <w:rsid w:val="00A957AB"/>
    <w:rsid w:val="00A963CF"/>
    <w:rsid w:val="00A96D00"/>
    <w:rsid w:val="00A974CC"/>
    <w:rsid w:val="00A97AB2"/>
    <w:rsid w:val="00AA1743"/>
    <w:rsid w:val="00AA4918"/>
    <w:rsid w:val="00AA4FF9"/>
    <w:rsid w:val="00AA598A"/>
    <w:rsid w:val="00AA60DB"/>
    <w:rsid w:val="00AA6620"/>
    <w:rsid w:val="00AA679B"/>
    <w:rsid w:val="00AA77B1"/>
    <w:rsid w:val="00AA79E7"/>
    <w:rsid w:val="00AB144F"/>
    <w:rsid w:val="00AB187C"/>
    <w:rsid w:val="00AB6001"/>
    <w:rsid w:val="00AB7438"/>
    <w:rsid w:val="00AC01DC"/>
    <w:rsid w:val="00AC0479"/>
    <w:rsid w:val="00AC1468"/>
    <w:rsid w:val="00AC1C31"/>
    <w:rsid w:val="00AC4143"/>
    <w:rsid w:val="00AC592C"/>
    <w:rsid w:val="00AC7435"/>
    <w:rsid w:val="00AC7A9C"/>
    <w:rsid w:val="00AD0F72"/>
    <w:rsid w:val="00AD4AD7"/>
    <w:rsid w:val="00AD631C"/>
    <w:rsid w:val="00AE175F"/>
    <w:rsid w:val="00AE2248"/>
    <w:rsid w:val="00AE4FD3"/>
    <w:rsid w:val="00AE6310"/>
    <w:rsid w:val="00AE79CF"/>
    <w:rsid w:val="00AF052C"/>
    <w:rsid w:val="00AF085A"/>
    <w:rsid w:val="00AF4293"/>
    <w:rsid w:val="00AF4AB4"/>
    <w:rsid w:val="00AF57F6"/>
    <w:rsid w:val="00AF5F20"/>
    <w:rsid w:val="00AF6277"/>
    <w:rsid w:val="00B021C1"/>
    <w:rsid w:val="00B02781"/>
    <w:rsid w:val="00B04E75"/>
    <w:rsid w:val="00B058C6"/>
    <w:rsid w:val="00B05E89"/>
    <w:rsid w:val="00B0636F"/>
    <w:rsid w:val="00B07013"/>
    <w:rsid w:val="00B071C6"/>
    <w:rsid w:val="00B105E4"/>
    <w:rsid w:val="00B13C2E"/>
    <w:rsid w:val="00B15F7B"/>
    <w:rsid w:val="00B20AB8"/>
    <w:rsid w:val="00B20F36"/>
    <w:rsid w:val="00B216AD"/>
    <w:rsid w:val="00B217D0"/>
    <w:rsid w:val="00B21F02"/>
    <w:rsid w:val="00B22952"/>
    <w:rsid w:val="00B22F78"/>
    <w:rsid w:val="00B24F0A"/>
    <w:rsid w:val="00B264CE"/>
    <w:rsid w:val="00B266DA"/>
    <w:rsid w:val="00B308C9"/>
    <w:rsid w:val="00B316C0"/>
    <w:rsid w:val="00B3193F"/>
    <w:rsid w:val="00B32F27"/>
    <w:rsid w:val="00B333CE"/>
    <w:rsid w:val="00B33B9A"/>
    <w:rsid w:val="00B34521"/>
    <w:rsid w:val="00B35B73"/>
    <w:rsid w:val="00B35C2E"/>
    <w:rsid w:val="00B35ED6"/>
    <w:rsid w:val="00B40BF0"/>
    <w:rsid w:val="00B43941"/>
    <w:rsid w:val="00B44B7C"/>
    <w:rsid w:val="00B44EF3"/>
    <w:rsid w:val="00B465C5"/>
    <w:rsid w:val="00B501F4"/>
    <w:rsid w:val="00B50A7F"/>
    <w:rsid w:val="00B51200"/>
    <w:rsid w:val="00B53203"/>
    <w:rsid w:val="00B54107"/>
    <w:rsid w:val="00B54997"/>
    <w:rsid w:val="00B568FF"/>
    <w:rsid w:val="00B638AA"/>
    <w:rsid w:val="00B642AE"/>
    <w:rsid w:val="00B65872"/>
    <w:rsid w:val="00B71744"/>
    <w:rsid w:val="00B725F0"/>
    <w:rsid w:val="00B732D7"/>
    <w:rsid w:val="00B74F78"/>
    <w:rsid w:val="00B8369A"/>
    <w:rsid w:val="00B8385F"/>
    <w:rsid w:val="00B8553A"/>
    <w:rsid w:val="00B855EE"/>
    <w:rsid w:val="00B859A5"/>
    <w:rsid w:val="00B9008C"/>
    <w:rsid w:val="00B9098A"/>
    <w:rsid w:val="00B92F1D"/>
    <w:rsid w:val="00B94935"/>
    <w:rsid w:val="00B950B4"/>
    <w:rsid w:val="00BA13F6"/>
    <w:rsid w:val="00BA2771"/>
    <w:rsid w:val="00BA31A4"/>
    <w:rsid w:val="00BA3CDA"/>
    <w:rsid w:val="00BA53F2"/>
    <w:rsid w:val="00BA5A7A"/>
    <w:rsid w:val="00BA5EED"/>
    <w:rsid w:val="00BB274A"/>
    <w:rsid w:val="00BB316E"/>
    <w:rsid w:val="00BB4EAC"/>
    <w:rsid w:val="00BB4EBB"/>
    <w:rsid w:val="00BB5AC6"/>
    <w:rsid w:val="00BC14D6"/>
    <w:rsid w:val="00BC2495"/>
    <w:rsid w:val="00BC35D6"/>
    <w:rsid w:val="00BC3FDC"/>
    <w:rsid w:val="00BC6317"/>
    <w:rsid w:val="00BC784E"/>
    <w:rsid w:val="00BC7BA3"/>
    <w:rsid w:val="00BC7D41"/>
    <w:rsid w:val="00BD0B62"/>
    <w:rsid w:val="00BD3213"/>
    <w:rsid w:val="00BD35CB"/>
    <w:rsid w:val="00BD4A5A"/>
    <w:rsid w:val="00BD5202"/>
    <w:rsid w:val="00BD55CA"/>
    <w:rsid w:val="00BD57B9"/>
    <w:rsid w:val="00BD7BA0"/>
    <w:rsid w:val="00BE0954"/>
    <w:rsid w:val="00BE24E0"/>
    <w:rsid w:val="00BE5AEA"/>
    <w:rsid w:val="00BF00D9"/>
    <w:rsid w:val="00BF17E8"/>
    <w:rsid w:val="00BF1970"/>
    <w:rsid w:val="00BF2229"/>
    <w:rsid w:val="00BF2D66"/>
    <w:rsid w:val="00BF5DE8"/>
    <w:rsid w:val="00BF6DB7"/>
    <w:rsid w:val="00C0200B"/>
    <w:rsid w:val="00C0252A"/>
    <w:rsid w:val="00C026CC"/>
    <w:rsid w:val="00C02AEF"/>
    <w:rsid w:val="00C03722"/>
    <w:rsid w:val="00C043BA"/>
    <w:rsid w:val="00C04E1D"/>
    <w:rsid w:val="00C05490"/>
    <w:rsid w:val="00C05D17"/>
    <w:rsid w:val="00C0796F"/>
    <w:rsid w:val="00C1050F"/>
    <w:rsid w:val="00C11803"/>
    <w:rsid w:val="00C11B5F"/>
    <w:rsid w:val="00C12821"/>
    <w:rsid w:val="00C133BC"/>
    <w:rsid w:val="00C1618E"/>
    <w:rsid w:val="00C1792F"/>
    <w:rsid w:val="00C20DCA"/>
    <w:rsid w:val="00C212EC"/>
    <w:rsid w:val="00C247CC"/>
    <w:rsid w:val="00C24831"/>
    <w:rsid w:val="00C25CCA"/>
    <w:rsid w:val="00C275A0"/>
    <w:rsid w:val="00C30E1C"/>
    <w:rsid w:val="00C340A7"/>
    <w:rsid w:val="00C35389"/>
    <w:rsid w:val="00C36C75"/>
    <w:rsid w:val="00C372B1"/>
    <w:rsid w:val="00C417CC"/>
    <w:rsid w:val="00C4359C"/>
    <w:rsid w:val="00C43C91"/>
    <w:rsid w:val="00C452C6"/>
    <w:rsid w:val="00C45679"/>
    <w:rsid w:val="00C4605B"/>
    <w:rsid w:val="00C460D4"/>
    <w:rsid w:val="00C46D27"/>
    <w:rsid w:val="00C47C31"/>
    <w:rsid w:val="00C50C56"/>
    <w:rsid w:val="00C514FF"/>
    <w:rsid w:val="00C52CE8"/>
    <w:rsid w:val="00C562B7"/>
    <w:rsid w:val="00C62BDC"/>
    <w:rsid w:val="00C63CE9"/>
    <w:rsid w:val="00C652AD"/>
    <w:rsid w:val="00C67563"/>
    <w:rsid w:val="00C707AD"/>
    <w:rsid w:val="00C72DDE"/>
    <w:rsid w:val="00C74A04"/>
    <w:rsid w:val="00C7596F"/>
    <w:rsid w:val="00C766DF"/>
    <w:rsid w:val="00C7712E"/>
    <w:rsid w:val="00C8098B"/>
    <w:rsid w:val="00C80CD3"/>
    <w:rsid w:val="00C815FD"/>
    <w:rsid w:val="00C84901"/>
    <w:rsid w:val="00C84937"/>
    <w:rsid w:val="00C86053"/>
    <w:rsid w:val="00C87748"/>
    <w:rsid w:val="00C90780"/>
    <w:rsid w:val="00C94D50"/>
    <w:rsid w:val="00C958EB"/>
    <w:rsid w:val="00CA09F6"/>
    <w:rsid w:val="00CA1793"/>
    <w:rsid w:val="00CA1A09"/>
    <w:rsid w:val="00CA1AC8"/>
    <w:rsid w:val="00CA33C0"/>
    <w:rsid w:val="00CA3966"/>
    <w:rsid w:val="00CA4B08"/>
    <w:rsid w:val="00CA6CB6"/>
    <w:rsid w:val="00CA708E"/>
    <w:rsid w:val="00CA72B8"/>
    <w:rsid w:val="00CA7FC7"/>
    <w:rsid w:val="00CB0CB5"/>
    <w:rsid w:val="00CB0D16"/>
    <w:rsid w:val="00CB3642"/>
    <w:rsid w:val="00CB3BCB"/>
    <w:rsid w:val="00CB3E38"/>
    <w:rsid w:val="00CB3FF6"/>
    <w:rsid w:val="00CC12AC"/>
    <w:rsid w:val="00CC2E17"/>
    <w:rsid w:val="00CC3707"/>
    <w:rsid w:val="00CC3720"/>
    <w:rsid w:val="00CC3738"/>
    <w:rsid w:val="00CC7A7A"/>
    <w:rsid w:val="00CD3EBC"/>
    <w:rsid w:val="00CD448D"/>
    <w:rsid w:val="00CE0323"/>
    <w:rsid w:val="00CE0789"/>
    <w:rsid w:val="00CE2E71"/>
    <w:rsid w:val="00CE3746"/>
    <w:rsid w:val="00CE3B60"/>
    <w:rsid w:val="00CE4760"/>
    <w:rsid w:val="00CE5195"/>
    <w:rsid w:val="00CE55E4"/>
    <w:rsid w:val="00CE7D27"/>
    <w:rsid w:val="00CF084F"/>
    <w:rsid w:val="00CF1A2F"/>
    <w:rsid w:val="00CF1E76"/>
    <w:rsid w:val="00CF5B92"/>
    <w:rsid w:val="00CF67F8"/>
    <w:rsid w:val="00D00110"/>
    <w:rsid w:val="00D00F8F"/>
    <w:rsid w:val="00D02584"/>
    <w:rsid w:val="00D04B9F"/>
    <w:rsid w:val="00D04D2D"/>
    <w:rsid w:val="00D05178"/>
    <w:rsid w:val="00D0680D"/>
    <w:rsid w:val="00D11845"/>
    <w:rsid w:val="00D12703"/>
    <w:rsid w:val="00D130D7"/>
    <w:rsid w:val="00D146E8"/>
    <w:rsid w:val="00D1514E"/>
    <w:rsid w:val="00D15D06"/>
    <w:rsid w:val="00D1628B"/>
    <w:rsid w:val="00D170BB"/>
    <w:rsid w:val="00D179E5"/>
    <w:rsid w:val="00D212CE"/>
    <w:rsid w:val="00D21577"/>
    <w:rsid w:val="00D21B50"/>
    <w:rsid w:val="00D221A1"/>
    <w:rsid w:val="00D222DF"/>
    <w:rsid w:val="00D224A4"/>
    <w:rsid w:val="00D2437A"/>
    <w:rsid w:val="00D246A9"/>
    <w:rsid w:val="00D24706"/>
    <w:rsid w:val="00D25F2F"/>
    <w:rsid w:val="00D2678C"/>
    <w:rsid w:val="00D3321B"/>
    <w:rsid w:val="00D347B8"/>
    <w:rsid w:val="00D366DA"/>
    <w:rsid w:val="00D37633"/>
    <w:rsid w:val="00D3772C"/>
    <w:rsid w:val="00D404AC"/>
    <w:rsid w:val="00D45E11"/>
    <w:rsid w:val="00D50018"/>
    <w:rsid w:val="00D50430"/>
    <w:rsid w:val="00D515D4"/>
    <w:rsid w:val="00D52B57"/>
    <w:rsid w:val="00D53332"/>
    <w:rsid w:val="00D53401"/>
    <w:rsid w:val="00D548B2"/>
    <w:rsid w:val="00D54EE1"/>
    <w:rsid w:val="00D558A0"/>
    <w:rsid w:val="00D564BC"/>
    <w:rsid w:val="00D611B9"/>
    <w:rsid w:val="00D61FFA"/>
    <w:rsid w:val="00D63228"/>
    <w:rsid w:val="00D63D4B"/>
    <w:rsid w:val="00D63D6B"/>
    <w:rsid w:val="00D651F5"/>
    <w:rsid w:val="00D66566"/>
    <w:rsid w:val="00D67AC6"/>
    <w:rsid w:val="00D67E0B"/>
    <w:rsid w:val="00D70AC9"/>
    <w:rsid w:val="00D71B24"/>
    <w:rsid w:val="00D72FD1"/>
    <w:rsid w:val="00D75EF8"/>
    <w:rsid w:val="00D76722"/>
    <w:rsid w:val="00D76B90"/>
    <w:rsid w:val="00D815D8"/>
    <w:rsid w:val="00D81692"/>
    <w:rsid w:val="00D81B93"/>
    <w:rsid w:val="00D83B76"/>
    <w:rsid w:val="00D840C6"/>
    <w:rsid w:val="00D84478"/>
    <w:rsid w:val="00D845AD"/>
    <w:rsid w:val="00D84C75"/>
    <w:rsid w:val="00D87698"/>
    <w:rsid w:val="00D87A68"/>
    <w:rsid w:val="00D91B29"/>
    <w:rsid w:val="00D97409"/>
    <w:rsid w:val="00DB0854"/>
    <w:rsid w:val="00DB0C1B"/>
    <w:rsid w:val="00DB1775"/>
    <w:rsid w:val="00DB1847"/>
    <w:rsid w:val="00DB1A7F"/>
    <w:rsid w:val="00DB322F"/>
    <w:rsid w:val="00DB376B"/>
    <w:rsid w:val="00DB405F"/>
    <w:rsid w:val="00DB43F8"/>
    <w:rsid w:val="00DB47C0"/>
    <w:rsid w:val="00DB6845"/>
    <w:rsid w:val="00DC0D7D"/>
    <w:rsid w:val="00DC1526"/>
    <w:rsid w:val="00DC2CFA"/>
    <w:rsid w:val="00DC3716"/>
    <w:rsid w:val="00DC4D12"/>
    <w:rsid w:val="00DC4DB7"/>
    <w:rsid w:val="00DC5A8F"/>
    <w:rsid w:val="00DC7A0F"/>
    <w:rsid w:val="00DC7EDD"/>
    <w:rsid w:val="00DD1044"/>
    <w:rsid w:val="00DD212E"/>
    <w:rsid w:val="00DD2217"/>
    <w:rsid w:val="00DD576D"/>
    <w:rsid w:val="00DD590B"/>
    <w:rsid w:val="00DD5C68"/>
    <w:rsid w:val="00DD6235"/>
    <w:rsid w:val="00DD6D15"/>
    <w:rsid w:val="00DE1847"/>
    <w:rsid w:val="00DE293D"/>
    <w:rsid w:val="00DE34DD"/>
    <w:rsid w:val="00DE379F"/>
    <w:rsid w:val="00DE53D2"/>
    <w:rsid w:val="00DE6350"/>
    <w:rsid w:val="00DE724D"/>
    <w:rsid w:val="00DE7A99"/>
    <w:rsid w:val="00DF245D"/>
    <w:rsid w:val="00DF2520"/>
    <w:rsid w:val="00DF2945"/>
    <w:rsid w:val="00DF53D6"/>
    <w:rsid w:val="00DF65D0"/>
    <w:rsid w:val="00DF7A2B"/>
    <w:rsid w:val="00E00CAA"/>
    <w:rsid w:val="00E00F54"/>
    <w:rsid w:val="00E01015"/>
    <w:rsid w:val="00E01033"/>
    <w:rsid w:val="00E0309F"/>
    <w:rsid w:val="00E044A9"/>
    <w:rsid w:val="00E04D75"/>
    <w:rsid w:val="00E04E7E"/>
    <w:rsid w:val="00E060CE"/>
    <w:rsid w:val="00E062C5"/>
    <w:rsid w:val="00E121D3"/>
    <w:rsid w:val="00E122B1"/>
    <w:rsid w:val="00E122E7"/>
    <w:rsid w:val="00E15F81"/>
    <w:rsid w:val="00E1777F"/>
    <w:rsid w:val="00E2060F"/>
    <w:rsid w:val="00E208A5"/>
    <w:rsid w:val="00E23343"/>
    <w:rsid w:val="00E235C5"/>
    <w:rsid w:val="00E23A0B"/>
    <w:rsid w:val="00E25130"/>
    <w:rsid w:val="00E26446"/>
    <w:rsid w:val="00E26B25"/>
    <w:rsid w:val="00E26D4B"/>
    <w:rsid w:val="00E3118E"/>
    <w:rsid w:val="00E33D2F"/>
    <w:rsid w:val="00E34058"/>
    <w:rsid w:val="00E374DA"/>
    <w:rsid w:val="00E40DF2"/>
    <w:rsid w:val="00E40E48"/>
    <w:rsid w:val="00E45854"/>
    <w:rsid w:val="00E47C72"/>
    <w:rsid w:val="00E5346E"/>
    <w:rsid w:val="00E5432E"/>
    <w:rsid w:val="00E544F3"/>
    <w:rsid w:val="00E60A2B"/>
    <w:rsid w:val="00E60C89"/>
    <w:rsid w:val="00E6176A"/>
    <w:rsid w:val="00E635B1"/>
    <w:rsid w:val="00E63748"/>
    <w:rsid w:val="00E64ADE"/>
    <w:rsid w:val="00E65351"/>
    <w:rsid w:val="00E65D8A"/>
    <w:rsid w:val="00E65E4C"/>
    <w:rsid w:val="00E6675B"/>
    <w:rsid w:val="00E668BE"/>
    <w:rsid w:val="00E67A56"/>
    <w:rsid w:val="00E67DC2"/>
    <w:rsid w:val="00E724C6"/>
    <w:rsid w:val="00E73140"/>
    <w:rsid w:val="00E8086E"/>
    <w:rsid w:val="00E824FF"/>
    <w:rsid w:val="00E83415"/>
    <w:rsid w:val="00E83AF2"/>
    <w:rsid w:val="00E83B0F"/>
    <w:rsid w:val="00E86487"/>
    <w:rsid w:val="00E86E8E"/>
    <w:rsid w:val="00E93509"/>
    <w:rsid w:val="00E949EF"/>
    <w:rsid w:val="00E94BD7"/>
    <w:rsid w:val="00E94C9C"/>
    <w:rsid w:val="00E95ABD"/>
    <w:rsid w:val="00EA061E"/>
    <w:rsid w:val="00EA0B60"/>
    <w:rsid w:val="00EA4580"/>
    <w:rsid w:val="00EA58D4"/>
    <w:rsid w:val="00EA61CF"/>
    <w:rsid w:val="00EB1744"/>
    <w:rsid w:val="00EB1B60"/>
    <w:rsid w:val="00EB53E5"/>
    <w:rsid w:val="00EB57A4"/>
    <w:rsid w:val="00EB630C"/>
    <w:rsid w:val="00EC0194"/>
    <w:rsid w:val="00EC1547"/>
    <w:rsid w:val="00EC16F9"/>
    <w:rsid w:val="00EC23AC"/>
    <w:rsid w:val="00EC399B"/>
    <w:rsid w:val="00EC4332"/>
    <w:rsid w:val="00EC4E80"/>
    <w:rsid w:val="00EC5219"/>
    <w:rsid w:val="00EC5F97"/>
    <w:rsid w:val="00EC64EB"/>
    <w:rsid w:val="00EC6535"/>
    <w:rsid w:val="00ED19D3"/>
    <w:rsid w:val="00ED1FA9"/>
    <w:rsid w:val="00ED2055"/>
    <w:rsid w:val="00ED3069"/>
    <w:rsid w:val="00ED734C"/>
    <w:rsid w:val="00ED7D9A"/>
    <w:rsid w:val="00EE1BF4"/>
    <w:rsid w:val="00EE4D36"/>
    <w:rsid w:val="00EE5814"/>
    <w:rsid w:val="00EE6706"/>
    <w:rsid w:val="00EE7889"/>
    <w:rsid w:val="00EE7D1E"/>
    <w:rsid w:val="00EF150B"/>
    <w:rsid w:val="00EF295F"/>
    <w:rsid w:val="00EF2B25"/>
    <w:rsid w:val="00EF419D"/>
    <w:rsid w:val="00EF48BE"/>
    <w:rsid w:val="00F00122"/>
    <w:rsid w:val="00F00E17"/>
    <w:rsid w:val="00F016B0"/>
    <w:rsid w:val="00F03153"/>
    <w:rsid w:val="00F068E4"/>
    <w:rsid w:val="00F06960"/>
    <w:rsid w:val="00F06A9D"/>
    <w:rsid w:val="00F10D59"/>
    <w:rsid w:val="00F13765"/>
    <w:rsid w:val="00F15B69"/>
    <w:rsid w:val="00F206B2"/>
    <w:rsid w:val="00F21FA7"/>
    <w:rsid w:val="00F2501B"/>
    <w:rsid w:val="00F25378"/>
    <w:rsid w:val="00F25C50"/>
    <w:rsid w:val="00F25D82"/>
    <w:rsid w:val="00F265CF"/>
    <w:rsid w:val="00F2724A"/>
    <w:rsid w:val="00F274B1"/>
    <w:rsid w:val="00F27752"/>
    <w:rsid w:val="00F33171"/>
    <w:rsid w:val="00F360AB"/>
    <w:rsid w:val="00F37E4C"/>
    <w:rsid w:val="00F41A17"/>
    <w:rsid w:val="00F41BA4"/>
    <w:rsid w:val="00F41BBB"/>
    <w:rsid w:val="00F42243"/>
    <w:rsid w:val="00F43022"/>
    <w:rsid w:val="00F44260"/>
    <w:rsid w:val="00F44601"/>
    <w:rsid w:val="00F451F8"/>
    <w:rsid w:val="00F46DCC"/>
    <w:rsid w:val="00F47397"/>
    <w:rsid w:val="00F47A51"/>
    <w:rsid w:val="00F524E0"/>
    <w:rsid w:val="00F552D8"/>
    <w:rsid w:val="00F563A7"/>
    <w:rsid w:val="00F576CB"/>
    <w:rsid w:val="00F615BA"/>
    <w:rsid w:val="00F61FC8"/>
    <w:rsid w:val="00F62E89"/>
    <w:rsid w:val="00F62EF8"/>
    <w:rsid w:val="00F642A9"/>
    <w:rsid w:val="00F64610"/>
    <w:rsid w:val="00F65E1D"/>
    <w:rsid w:val="00F666A0"/>
    <w:rsid w:val="00F66898"/>
    <w:rsid w:val="00F675C9"/>
    <w:rsid w:val="00F67875"/>
    <w:rsid w:val="00F704D2"/>
    <w:rsid w:val="00F73664"/>
    <w:rsid w:val="00F73B81"/>
    <w:rsid w:val="00F73BE4"/>
    <w:rsid w:val="00F75612"/>
    <w:rsid w:val="00F76B64"/>
    <w:rsid w:val="00F7766B"/>
    <w:rsid w:val="00F80079"/>
    <w:rsid w:val="00F8095D"/>
    <w:rsid w:val="00F837B2"/>
    <w:rsid w:val="00F868C7"/>
    <w:rsid w:val="00F86C97"/>
    <w:rsid w:val="00F9071B"/>
    <w:rsid w:val="00F9384C"/>
    <w:rsid w:val="00F960C1"/>
    <w:rsid w:val="00F96881"/>
    <w:rsid w:val="00FA14CE"/>
    <w:rsid w:val="00FA2A81"/>
    <w:rsid w:val="00FA5FF4"/>
    <w:rsid w:val="00FA7643"/>
    <w:rsid w:val="00FB2A60"/>
    <w:rsid w:val="00FB2FA6"/>
    <w:rsid w:val="00FB329C"/>
    <w:rsid w:val="00FB4973"/>
    <w:rsid w:val="00FB4F47"/>
    <w:rsid w:val="00FC1271"/>
    <w:rsid w:val="00FC15A1"/>
    <w:rsid w:val="00FC560C"/>
    <w:rsid w:val="00FC60DA"/>
    <w:rsid w:val="00FC6C07"/>
    <w:rsid w:val="00FC6EBE"/>
    <w:rsid w:val="00FC7BB8"/>
    <w:rsid w:val="00FD089C"/>
    <w:rsid w:val="00FD2185"/>
    <w:rsid w:val="00FD2A2E"/>
    <w:rsid w:val="00FD4349"/>
    <w:rsid w:val="00FD5701"/>
    <w:rsid w:val="00FE1B4E"/>
    <w:rsid w:val="00FE27E2"/>
    <w:rsid w:val="00FE2D02"/>
    <w:rsid w:val="00FE365C"/>
    <w:rsid w:val="00FE676E"/>
    <w:rsid w:val="00FE7094"/>
    <w:rsid w:val="00FE7FEA"/>
    <w:rsid w:val="00FF3CE6"/>
    <w:rsid w:val="00FF4346"/>
    <w:rsid w:val="00FF65FF"/>
    <w:rsid w:val="00FF769B"/>
  </w:rsids>
  <m:mathPr>
    <m:mathFont m:val="Cambria Math"/>
    <m:brkBin m:val="before"/>
    <m:brkBinSub m:val="--"/>
    <m:smallFrac/>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65FB58B"/>
  <w15:docId w15:val="{05C64FF6-546A-42BB-8234-C6208AA921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Times New Roman"/>
        <w:sz w:val="24"/>
        <w:szCs w:val="24"/>
        <w:lang w:val="es-CO" w:eastAsia="en-US" w:bidi="ar-SA"/>
      </w:rPr>
    </w:rPrDefault>
    <w:pPrDefault>
      <w:pPr>
        <w:spacing w:line="276"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02488"/>
  </w:style>
  <w:style w:type="paragraph" w:styleId="Ttulo1">
    <w:name w:val="heading 1"/>
    <w:basedOn w:val="Normal"/>
    <w:next w:val="Normal"/>
    <w:link w:val="Ttulo1Car"/>
    <w:uiPriority w:val="9"/>
    <w:qFormat/>
    <w:rsid w:val="00536A4B"/>
    <w:pPr>
      <w:keepNext/>
      <w:keepLines/>
      <w:numPr>
        <w:numId w:val="7"/>
      </w:numPr>
      <w:spacing w:before="48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F274B1"/>
    <w:pPr>
      <w:keepNext/>
      <w:keepLines/>
      <w:numPr>
        <w:ilvl w:val="1"/>
        <w:numId w:val="7"/>
      </w:numPr>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964F0E"/>
    <w:pPr>
      <w:keepNext/>
      <w:keepLines/>
      <w:numPr>
        <w:ilvl w:val="2"/>
        <w:numId w:val="7"/>
      </w:numPr>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unhideWhenUsed/>
    <w:qFormat/>
    <w:rsid w:val="00C340A7"/>
    <w:pPr>
      <w:keepNext/>
      <w:keepLines/>
      <w:numPr>
        <w:ilvl w:val="3"/>
        <w:numId w:val="7"/>
      </w:numPr>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semiHidden/>
    <w:unhideWhenUsed/>
    <w:qFormat/>
    <w:rsid w:val="00C340A7"/>
    <w:pPr>
      <w:keepNext/>
      <w:keepLines/>
      <w:numPr>
        <w:ilvl w:val="4"/>
        <w:numId w:val="7"/>
      </w:numPr>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semiHidden/>
    <w:unhideWhenUsed/>
    <w:qFormat/>
    <w:rsid w:val="00C340A7"/>
    <w:pPr>
      <w:keepNext/>
      <w:keepLines/>
      <w:numPr>
        <w:ilvl w:val="5"/>
        <w:numId w:val="7"/>
      </w:numPr>
      <w:spacing w:before="20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iPriority w:val="9"/>
    <w:semiHidden/>
    <w:unhideWhenUsed/>
    <w:qFormat/>
    <w:rsid w:val="00C340A7"/>
    <w:pPr>
      <w:keepNext/>
      <w:keepLines/>
      <w:numPr>
        <w:ilvl w:val="6"/>
        <w:numId w:val="7"/>
      </w:numPr>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C340A7"/>
    <w:pPr>
      <w:keepNext/>
      <w:keepLines/>
      <w:numPr>
        <w:ilvl w:val="7"/>
        <w:numId w:val="7"/>
      </w:numPr>
      <w:spacing w:before="20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
    <w:semiHidden/>
    <w:unhideWhenUsed/>
    <w:qFormat/>
    <w:rsid w:val="00C340A7"/>
    <w:pPr>
      <w:keepNext/>
      <w:keepLines/>
      <w:numPr>
        <w:ilvl w:val="8"/>
        <w:numId w:val="7"/>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536A4B"/>
    <w:rPr>
      <w:rFonts w:asciiTheme="majorHAnsi" w:eastAsiaTheme="majorEastAsia" w:hAnsiTheme="majorHAnsi" w:cstheme="majorBidi"/>
      <w:b/>
      <w:bCs/>
      <w:color w:val="365F91" w:themeColor="accent1" w:themeShade="BF"/>
      <w:sz w:val="28"/>
      <w:szCs w:val="28"/>
    </w:rPr>
  </w:style>
  <w:style w:type="paragraph" w:styleId="TtulodeTDC">
    <w:name w:val="TOC Heading"/>
    <w:basedOn w:val="Ttulo1"/>
    <w:next w:val="Normal"/>
    <w:uiPriority w:val="39"/>
    <w:semiHidden/>
    <w:unhideWhenUsed/>
    <w:qFormat/>
    <w:rsid w:val="00536A4B"/>
    <w:pPr>
      <w:jc w:val="left"/>
      <w:outlineLvl w:val="9"/>
    </w:pPr>
    <w:rPr>
      <w:lang w:val="es-ES"/>
    </w:rPr>
  </w:style>
  <w:style w:type="paragraph" w:styleId="Textodeglobo">
    <w:name w:val="Balloon Text"/>
    <w:basedOn w:val="Normal"/>
    <w:link w:val="TextodegloboCar"/>
    <w:uiPriority w:val="99"/>
    <w:semiHidden/>
    <w:unhideWhenUsed/>
    <w:rsid w:val="00536A4B"/>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36A4B"/>
    <w:rPr>
      <w:rFonts w:ascii="Tahoma" w:hAnsi="Tahoma" w:cs="Tahoma"/>
      <w:sz w:val="16"/>
      <w:szCs w:val="16"/>
    </w:rPr>
  </w:style>
  <w:style w:type="paragraph" w:styleId="TDC1">
    <w:name w:val="toc 1"/>
    <w:basedOn w:val="Normal"/>
    <w:next w:val="Normal"/>
    <w:autoRedefine/>
    <w:uiPriority w:val="39"/>
    <w:unhideWhenUsed/>
    <w:rsid w:val="00536A4B"/>
    <w:pPr>
      <w:spacing w:after="100"/>
    </w:pPr>
  </w:style>
  <w:style w:type="character" w:styleId="Hipervnculo">
    <w:name w:val="Hyperlink"/>
    <w:basedOn w:val="Fuentedeprrafopredeter"/>
    <w:uiPriority w:val="99"/>
    <w:unhideWhenUsed/>
    <w:rsid w:val="00536A4B"/>
    <w:rPr>
      <w:color w:val="0000FF" w:themeColor="hyperlink"/>
      <w:u w:val="single"/>
    </w:rPr>
  </w:style>
  <w:style w:type="character" w:customStyle="1" w:styleId="Ttulo2Car">
    <w:name w:val="Título 2 Car"/>
    <w:basedOn w:val="Fuentedeprrafopredeter"/>
    <w:link w:val="Ttulo2"/>
    <w:uiPriority w:val="9"/>
    <w:rsid w:val="00F274B1"/>
    <w:rPr>
      <w:rFonts w:asciiTheme="majorHAnsi" w:eastAsiaTheme="majorEastAsia" w:hAnsiTheme="majorHAnsi" w:cstheme="majorBidi"/>
      <w:b/>
      <w:bCs/>
      <w:color w:val="4F81BD" w:themeColor="accent1"/>
      <w:sz w:val="26"/>
      <w:szCs w:val="26"/>
    </w:rPr>
  </w:style>
  <w:style w:type="paragraph" w:styleId="Prrafodelista">
    <w:name w:val="List Paragraph"/>
    <w:basedOn w:val="Normal"/>
    <w:uiPriority w:val="34"/>
    <w:qFormat/>
    <w:rsid w:val="00407A15"/>
    <w:pPr>
      <w:ind w:left="720"/>
      <w:contextualSpacing/>
    </w:pPr>
  </w:style>
  <w:style w:type="paragraph" w:styleId="TDC2">
    <w:name w:val="toc 2"/>
    <w:basedOn w:val="Normal"/>
    <w:next w:val="Normal"/>
    <w:autoRedefine/>
    <w:uiPriority w:val="39"/>
    <w:unhideWhenUsed/>
    <w:rsid w:val="008F3314"/>
    <w:pPr>
      <w:spacing w:after="100"/>
      <w:ind w:left="240"/>
    </w:pPr>
  </w:style>
  <w:style w:type="character" w:styleId="Refdecomentario">
    <w:name w:val="annotation reference"/>
    <w:basedOn w:val="Fuentedeprrafopredeter"/>
    <w:uiPriority w:val="99"/>
    <w:semiHidden/>
    <w:unhideWhenUsed/>
    <w:rsid w:val="00C50C56"/>
    <w:rPr>
      <w:sz w:val="16"/>
      <w:szCs w:val="16"/>
    </w:rPr>
  </w:style>
  <w:style w:type="paragraph" w:styleId="Textocomentario">
    <w:name w:val="annotation text"/>
    <w:basedOn w:val="Normal"/>
    <w:link w:val="TextocomentarioCar"/>
    <w:uiPriority w:val="99"/>
    <w:semiHidden/>
    <w:unhideWhenUsed/>
    <w:rsid w:val="00C50C56"/>
    <w:pPr>
      <w:spacing w:line="240" w:lineRule="auto"/>
    </w:pPr>
    <w:rPr>
      <w:rFonts w:cstheme="minorBidi"/>
      <w:sz w:val="20"/>
      <w:szCs w:val="20"/>
    </w:rPr>
  </w:style>
  <w:style w:type="character" w:customStyle="1" w:styleId="TextocomentarioCar">
    <w:name w:val="Texto comentario Car"/>
    <w:basedOn w:val="Fuentedeprrafopredeter"/>
    <w:link w:val="Textocomentario"/>
    <w:uiPriority w:val="99"/>
    <w:semiHidden/>
    <w:rsid w:val="00C50C56"/>
    <w:rPr>
      <w:rFonts w:cstheme="minorBidi"/>
      <w:sz w:val="20"/>
      <w:szCs w:val="20"/>
    </w:rPr>
  </w:style>
  <w:style w:type="table" w:styleId="Tablaconcuadrcula">
    <w:name w:val="Table Grid"/>
    <w:basedOn w:val="Tablanormal"/>
    <w:uiPriority w:val="59"/>
    <w:rsid w:val="00C50C56"/>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suntodelcomentario">
    <w:name w:val="annotation subject"/>
    <w:basedOn w:val="Textocomentario"/>
    <w:next w:val="Textocomentario"/>
    <w:link w:val="AsuntodelcomentarioCar"/>
    <w:uiPriority w:val="99"/>
    <w:semiHidden/>
    <w:unhideWhenUsed/>
    <w:rsid w:val="00B105E4"/>
    <w:rPr>
      <w:rFonts w:cs="Times New Roman"/>
      <w:b/>
      <w:bCs/>
    </w:rPr>
  </w:style>
  <w:style w:type="character" w:customStyle="1" w:styleId="AsuntodelcomentarioCar">
    <w:name w:val="Asunto del comentario Car"/>
    <w:basedOn w:val="TextocomentarioCar"/>
    <w:link w:val="Asuntodelcomentario"/>
    <w:uiPriority w:val="99"/>
    <w:semiHidden/>
    <w:rsid w:val="00B105E4"/>
    <w:rPr>
      <w:rFonts w:cstheme="minorBidi"/>
      <w:b/>
      <w:bCs/>
      <w:sz w:val="20"/>
      <w:szCs w:val="20"/>
    </w:rPr>
  </w:style>
  <w:style w:type="paragraph" w:styleId="Encabezado">
    <w:name w:val="header"/>
    <w:basedOn w:val="Normal"/>
    <w:link w:val="EncabezadoCar"/>
    <w:uiPriority w:val="99"/>
    <w:unhideWhenUsed/>
    <w:rsid w:val="00721A12"/>
    <w:pPr>
      <w:tabs>
        <w:tab w:val="center" w:pos="4252"/>
        <w:tab w:val="right" w:pos="8504"/>
      </w:tabs>
      <w:spacing w:line="240" w:lineRule="auto"/>
    </w:pPr>
  </w:style>
  <w:style w:type="character" w:customStyle="1" w:styleId="EncabezadoCar">
    <w:name w:val="Encabezado Car"/>
    <w:basedOn w:val="Fuentedeprrafopredeter"/>
    <w:link w:val="Encabezado"/>
    <w:uiPriority w:val="99"/>
    <w:rsid w:val="00721A12"/>
  </w:style>
  <w:style w:type="paragraph" w:styleId="Piedepgina">
    <w:name w:val="footer"/>
    <w:basedOn w:val="Normal"/>
    <w:link w:val="PiedepginaCar"/>
    <w:uiPriority w:val="99"/>
    <w:unhideWhenUsed/>
    <w:rsid w:val="00721A12"/>
    <w:pPr>
      <w:tabs>
        <w:tab w:val="center" w:pos="4252"/>
        <w:tab w:val="right" w:pos="8504"/>
      </w:tabs>
      <w:spacing w:line="240" w:lineRule="auto"/>
    </w:pPr>
  </w:style>
  <w:style w:type="character" w:customStyle="1" w:styleId="PiedepginaCar">
    <w:name w:val="Pie de página Car"/>
    <w:basedOn w:val="Fuentedeprrafopredeter"/>
    <w:link w:val="Piedepgina"/>
    <w:uiPriority w:val="99"/>
    <w:rsid w:val="00721A12"/>
  </w:style>
  <w:style w:type="character" w:styleId="Textoennegrita">
    <w:name w:val="Strong"/>
    <w:aliases w:val="Texto de la tesis"/>
    <w:basedOn w:val="Fuentedeprrafopredeter"/>
    <w:uiPriority w:val="22"/>
    <w:qFormat/>
    <w:rsid w:val="00D564BC"/>
    <w:rPr>
      <w:rFonts w:ascii="Arial" w:hAnsi="Arial"/>
      <w:bCs/>
      <w:sz w:val="24"/>
    </w:rPr>
  </w:style>
  <w:style w:type="paragraph" w:styleId="Revisin">
    <w:name w:val="Revision"/>
    <w:hidden/>
    <w:uiPriority w:val="99"/>
    <w:semiHidden/>
    <w:rsid w:val="008935E4"/>
    <w:pPr>
      <w:spacing w:line="240" w:lineRule="auto"/>
      <w:jc w:val="left"/>
    </w:pPr>
  </w:style>
  <w:style w:type="paragraph" w:styleId="Descripcin">
    <w:name w:val="caption"/>
    <w:basedOn w:val="Normal"/>
    <w:next w:val="Normal"/>
    <w:uiPriority w:val="35"/>
    <w:unhideWhenUsed/>
    <w:qFormat/>
    <w:rsid w:val="00F75612"/>
    <w:pPr>
      <w:spacing w:after="200" w:line="240" w:lineRule="auto"/>
    </w:pPr>
    <w:rPr>
      <w:b/>
      <w:bCs/>
      <w:color w:val="4F81BD" w:themeColor="accent1"/>
      <w:sz w:val="18"/>
      <w:szCs w:val="18"/>
    </w:rPr>
  </w:style>
  <w:style w:type="character" w:customStyle="1" w:styleId="Ttulo3Car">
    <w:name w:val="Título 3 Car"/>
    <w:basedOn w:val="Fuentedeprrafopredeter"/>
    <w:link w:val="Ttulo3"/>
    <w:uiPriority w:val="9"/>
    <w:rsid w:val="00964F0E"/>
    <w:rPr>
      <w:rFonts w:asciiTheme="majorHAnsi" w:eastAsiaTheme="majorEastAsia" w:hAnsiTheme="majorHAnsi" w:cstheme="majorBidi"/>
      <w:b/>
      <w:bCs/>
      <w:color w:val="4F81BD" w:themeColor="accent1"/>
    </w:rPr>
  </w:style>
  <w:style w:type="character" w:customStyle="1" w:styleId="Ttulo4Car">
    <w:name w:val="Título 4 Car"/>
    <w:basedOn w:val="Fuentedeprrafopredeter"/>
    <w:link w:val="Ttulo4"/>
    <w:uiPriority w:val="9"/>
    <w:rsid w:val="00C340A7"/>
    <w:rPr>
      <w:rFonts w:asciiTheme="majorHAnsi" w:eastAsiaTheme="majorEastAsia" w:hAnsiTheme="majorHAnsi" w:cstheme="majorBidi"/>
      <w:b/>
      <w:bCs/>
      <w:i/>
      <w:iCs/>
      <w:color w:val="4F81BD" w:themeColor="accent1"/>
    </w:rPr>
  </w:style>
  <w:style w:type="character" w:customStyle="1" w:styleId="Ttulo5Car">
    <w:name w:val="Título 5 Car"/>
    <w:basedOn w:val="Fuentedeprrafopredeter"/>
    <w:link w:val="Ttulo5"/>
    <w:uiPriority w:val="9"/>
    <w:semiHidden/>
    <w:rsid w:val="00C340A7"/>
    <w:rPr>
      <w:rFonts w:asciiTheme="majorHAnsi" w:eastAsiaTheme="majorEastAsia" w:hAnsiTheme="majorHAnsi" w:cstheme="majorBidi"/>
      <w:color w:val="243F60" w:themeColor="accent1" w:themeShade="7F"/>
    </w:rPr>
  </w:style>
  <w:style w:type="character" w:customStyle="1" w:styleId="Ttulo6Car">
    <w:name w:val="Título 6 Car"/>
    <w:basedOn w:val="Fuentedeprrafopredeter"/>
    <w:link w:val="Ttulo6"/>
    <w:uiPriority w:val="9"/>
    <w:semiHidden/>
    <w:rsid w:val="00C340A7"/>
    <w:rPr>
      <w:rFonts w:asciiTheme="majorHAnsi" w:eastAsiaTheme="majorEastAsia" w:hAnsiTheme="majorHAnsi" w:cstheme="majorBidi"/>
      <w:i/>
      <w:iCs/>
      <w:color w:val="243F60" w:themeColor="accent1" w:themeShade="7F"/>
    </w:rPr>
  </w:style>
  <w:style w:type="character" w:customStyle="1" w:styleId="Ttulo7Car">
    <w:name w:val="Título 7 Car"/>
    <w:basedOn w:val="Fuentedeprrafopredeter"/>
    <w:link w:val="Ttulo7"/>
    <w:uiPriority w:val="9"/>
    <w:semiHidden/>
    <w:rsid w:val="00C340A7"/>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C340A7"/>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C340A7"/>
    <w:rPr>
      <w:rFonts w:asciiTheme="majorHAnsi" w:eastAsiaTheme="majorEastAsia" w:hAnsiTheme="majorHAnsi" w:cstheme="majorBidi"/>
      <w:i/>
      <w:iCs/>
      <w:color w:val="404040" w:themeColor="text1" w:themeTint="BF"/>
      <w:sz w:val="20"/>
      <w:szCs w:val="20"/>
    </w:rPr>
  </w:style>
  <w:style w:type="paragraph" w:styleId="TDC3">
    <w:name w:val="toc 3"/>
    <w:basedOn w:val="Normal"/>
    <w:next w:val="Normal"/>
    <w:autoRedefine/>
    <w:uiPriority w:val="39"/>
    <w:unhideWhenUsed/>
    <w:rsid w:val="006A76C6"/>
    <w:pPr>
      <w:spacing w:after="100"/>
      <w:ind w:left="480"/>
    </w:pPr>
  </w:style>
  <w:style w:type="paragraph" w:styleId="Sinespaciado">
    <w:name w:val="No Spacing"/>
    <w:uiPriority w:val="1"/>
    <w:qFormat/>
    <w:rsid w:val="006A76C6"/>
    <w:pPr>
      <w:spacing w:line="240" w:lineRule="auto"/>
    </w:pPr>
  </w:style>
  <w:style w:type="paragraph" w:styleId="NormalWeb">
    <w:name w:val="Normal (Web)"/>
    <w:basedOn w:val="Normal"/>
    <w:uiPriority w:val="99"/>
    <w:unhideWhenUsed/>
    <w:rsid w:val="00C43C91"/>
    <w:pPr>
      <w:spacing w:before="100" w:beforeAutospacing="1" w:after="100" w:afterAutospacing="1" w:line="240" w:lineRule="auto"/>
      <w:jc w:val="left"/>
    </w:pPr>
    <w:rPr>
      <w:rFonts w:ascii="Times New Roman" w:eastAsiaTheme="minorEastAsia" w:hAnsi="Times New Roman"/>
      <w:lang w:eastAsia="es-CO"/>
    </w:rPr>
  </w:style>
  <w:style w:type="paragraph" w:customStyle="1" w:styleId="Default">
    <w:name w:val="Default"/>
    <w:rsid w:val="00031A26"/>
    <w:pPr>
      <w:autoSpaceDE w:val="0"/>
      <w:autoSpaceDN w:val="0"/>
      <w:adjustRightInd w:val="0"/>
      <w:spacing w:line="240" w:lineRule="auto"/>
      <w:jc w:val="left"/>
    </w:pPr>
    <w:rPr>
      <w:rFonts w:ascii="Verdana" w:hAnsi="Verdana" w:cs="Verdana"/>
      <w:color w:val="000000"/>
    </w:rPr>
  </w:style>
  <w:style w:type="character" w:styleId="nfasis">
    <w:name w:val="Emphasis"/>
    <w:basedOn w:val="Fuentedeprrafopredeter"/>
    <w:uiPriority w:val="20"/>
    <w:qFormat/>
    <w:rsid w:val="00A94B87"/>
    <w:rPr>
      <w:i/>
      <w:iCs/>
    </w:rPr>
  </w:style>
  <w:style w:type="paragraph" w:styleId="Textonotaalfinal">
    <w:name w:val="endnote text"/>
    <w:basedOn w:val="Normal"/>
    <w:link w:val="TextonotaalfinalCar"/>
    <w:uiPriority w:val="99"/>
    <w:semiHidden/>
    <w:unhideWhenUsed/>
    <w:rsid w:val="0050738D"/>
    <w:pPr>
      <w:spacing w:line="240" w:lineRule="auto"/>
    </w:pPr>
    <w:rPr>
      <w:sz w:val="20"/>
      <w:szCs w:val="20"/>
    </w:rPr>
  </w:style>
  <w:style w:type="character" w:customStyle="1" w:styleId="TextonotaalfinalCar">
    <w:name w:val="Texto nota al final Car"/>
    <w:basedOn w:val="Fuentedeprrafopredeter"/>
    <w:link w:val="Textonotaalfinal"/>
    <w:uiPriority w:val="99"/>
    <w:semiHidden/>
    <w:rsid w:val="0050738D"/>
    <w:rPr>
      <w:sz w:val="20"/>
      <w:szCs w:val="20"/>
    </w:rPr>
  </w:style>
  <w:style w:type="character" w:styleId="Refdenotaalfinal">
    <w:name w:val="endnote reference"/>
    <w:basedOn w:val="Fuentedeprrafopredeter"/>
    <w:uiPriority w:val="99"/>
    <w:semiHidden/>
    <w:unhideWhenUsed/>
    <w:rsid w:val="0050738D"/>
    <w:rPr>
      <w:vertAlign w:val="superscript"/>
    </w:rPr>
  </w:style>
  <w:style w:type="paragraph" w:styleId="Textonotapie">
    <w:name w:val="footnote text"/>
    <w:basedOn w:val="Normal"/>
    <w:link w:val="TextonotapieCar"/>
    <w:uiPriority w:val="99"/>
    <w:semiHidden/>
    <w:unhideWhenUsed/>
    <w:rsid w:val="000A6BB4"/>
    <w:pPr>
      <w:spacing w:line="240" w:lineRule="auto"/>
    </w:pPr>
    <w:rPr>
      <w:sz w:val="20"/>
      <w:szCs w:val="20"/>
    </w:rPr>
  </w:style>
  <w:style w:type="character" w:customStyle="1" w:styleId="TextonotapieCar">
    <w:name w:val="Texto nota pie Car"/>
    <w:basedOn w:val="Fuentedeprrafopredeter"/>
    <w:link w:val="Textonotapie"/>
    <w:uiPriority w:val="99"/>
    <w:semiHidden/>
    <w:rsid w:val="000A6BB4"/>
    <w:rPr>
      <w:sz w:val="20"/>
      <w:szCs w:val="20"/>
    </w:rPr>
  </w:style>
  <w:style w:type="character" w:styleId="Refdenotaalpie">
    <w:name w:val="footnote reference"/>
    <w:basedOn w:val="Fuentedeprrafopredeter"/>
    <w:uiPriority w:val="99"/>
    <w:semiHidden/>
    <w:unhideWhenUsed/>
    <w:rsid w:val="000A6BB4"/>
    <w:rPr>
      <w:vertAlign w:val="superscript"/>
    </w:rPr>
  </w:style>
  <w:style w:type="paragraph" w:styleId="Tabladeilustraciones">
    <w:name w:val="table of figures"/>
    <w:basedOn w:val="Normal"/>
    <w:next w:val="Normal"/>
    <w:uiPriority w:val="99"/>
    <w:unhideWhenUsed/>
    <w:rsid w:val="00D71B2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416997">
      <w:bodyDiv w:val="1"/>
      <w:marLeft w:val="0"/>
      <w:marRight w:val="0"/>
      <w:marTop w:val="0"/>
      <w:marBottom w:val="0"/>
      <w:divBdr>
        <w:top w:val="none" w:sz="0" w:space="0" w:color="auto"/>
        <w:left w:val="none" w:sz="0" w:space="0" w:color="auto"/>
        <w:bottom w:val="none" w:sz="0" w:space="0" w:color="auto"/>
        <w:right w:val="none" w:sz="0" w:space="0" w:color="auto"/>
      </w:divBdr>
    </w:div>
    <w:div w:id="319234686">
      <w:bodyDiv w:val="1"/>
      <w:marLeft w:val="0"/>
      <w:marRight w:val="0"/>
      <w:marTop w:val="0"/>
      <w:marBottom w:val="0"/>
      <w:divBdr>
        <w:top w:val="none" w:sz="0" w:space="0" w:color="auto"/>
        <w:left w:val="none" w:sz="0" w:space="0" w:color="auto"/>
        <w:bottom w:val="none" w:sz="0" w:space="0" w:color="auto"/>
        <w:right w:val="none" w:sz="0" w:space="0" w:color="auto"/>
      </w:divBdr>
    </w:div>
    <w:div w:id="518392585">
      <w:bodyDiv w:val="1"/>
      <w:marLeft w:val="0"/>
      <w:marRight w:val="0"/>
      <w:marTop w:val="0"/>
      <w:marBottom w:val="0"/>
      <w:divBdr>
        <w:top w:val="none" w:sz="0" w:space="0" w:color="auto"/>
        <w:left w:val="none" w:sz="0" w:space="0" w:color="auto"/>
        <w:bottom w:val="none" w:sz="0" w:space="0" w:color="auto"/>
        <w:right w:val="none" w:sz="0" w:space="0" w:color="auto"/>
      </w:divBdr>
    </w:div>
    <w:div w:id="617227426">
      <w:bodyDiv w:val="1"/>
      <w:marLeft w:val="0"/>
      <w:marRight w:val="0"/>
      <w:marTop w:val="0"/>
      <w:marBottom w:val="0"/>
      <w:divBdr>
        <w:top w:val="none" w:sz="0" w:space="0" w:color="auto"/>
        <w:left w:val="none" w:sz="0" w:space="0" w:color="auto"/>
        <w:bottom w:val="none" w:sz="0" w:space="0" w:color="auto"/>
        <w:right w:val="none" w:sz="0" w:space="0" w:color="auto"/>
      </w:divBdr>
    </w:div>
    <w:div w:id="639531194">
      <w:bodyDiv w:val="1"/>
      <w:marLeft w:val="0"/>
      <w:marRight w:val="0"/>
      <w:marTop w:val="0"/>
      <w:marBottom w:val="0"/>
      <w:divBdr>
        <w:top w:val="none" w:sz="0" w:space="0" w:color="auto"/>
        <w:left w:val="none" w:sz="0" w:space="0" w:color="auto"/>
        <w:bottom w:val="none" w:sz="0" w:space="0" w:color="auto"/>
        <w:right w:val="none" w:sz="0" w:space="0" w:color="auto"/>
      </w:divBdr>
    </w:div>
    <w:div w:id="775950419">
      <w:bodyDiv w:val="1"/>
      <w:marLeft w:val="0"/>
      <w:marRight w:val="0"/>
      <w:marTop w:val="0"/>
      <w:marBottom w:val="0"/>
      <w:divBdr>
        <w:top w:val="none" w:sz="0" w:space="0" w:color="auto"/>
        <w:left w:val="none" w:sz="0" w:space="0" w:color="auto"/>
        <w:bottom w:val="none" w:sz="0" w:space="0" w:color="auto"/>
        <w:right w:val="none" w:sz="0" w:space="0" w:color="auto"/>
      </w:divBdr>
      <w:divsChild>
        <w:div w:id="628315914">
          <w:marLeft w:val="0"/>
          <w:marRight w:val="0"/>
          <w:marTop w:val="0"/>
          <w:marBottom w:val="0"/>
          <w:divBdr>
            <w:top w:val="none" w:sz="0" w:space="0" w:color="auto"/>
            <w:left w:val="none" w:sz="0" w:space="0" w:color="auto"/>
            <w:bottom w:val="none" w:sz="0" w:space="0" w:color="auto"/>
            <w:right w:val="none" w:sz="0" w:space="0" w:color="auto"/>
          </w:divBdr>
          <w:divsChild>
            <w:div w:id="1395162635">
              <w:marLeft w:val="0"/>
              <w:marRight w:val="0"/>
              <w:marTop w:val="0"/>
              <w:marBottom w:val="0"/>
              <w:divBdr>
                <w:top w:val="none" w:sz="0" w:space="0" w:color="auto"/>
                <w:left w:val="none" w:sz="0" w:space="0" w:color="auto"/>
                <w:bottom w:val="none" w:sz="0" w:space="0" w:color="auto"/>
                <w:right w:val="none" w:sz="0" w:space="0" w:color="auto"/>
              </w:divBdr>
              <w:divsChild>
                <w:div w:id="2139180662">
                  <w:marLeft w:val="0"/>
                  <w:marRight w:val="0"/>
                  <w:marTop w:val="0"/>
                  <w:marBottom w:val="0"/>
                  <w:divBdr>
                    <w:top w:val="none" w:sz="0" w:space="0" w:color="auto"/>
                    <w:left w:val="none" w:sz="0" w:space="0" w:color="auto"/>
                    <w:bottom w:val="none" w:sz="0" w:space="0" w:color="auto"/>
                    <w:right w:val="none" w:sz="0" w:space="0" w:color="auto"/>
                  </w:divBdr>
                  <w:divsChild>
                    <w:div w:id="781609988">
                      <w:marLeft w:val="0"/>
                      <w:marRight w:val="0"/>
                      <w:marTop w:val="0"/>
                      <w:marBottom w:val="0"/>
                      <w:divBdr>
                        <w:top w:val="none" w:sz="0" w:space="0" w:color="auto"/>
                        <w:left w:val="none" w:sz="0" w:space="0" w:color="auto"/>
                        <w:bottom w:val="none" w:sz="0" w:space="0" w:color="auto"/>
                        <w:right w:val="none" w:sz="0" w:space="0" w:color="auto"/>
                      </w:divBdr>
                      <w:divsChild>
                        <w:div w:id="1086463187">
                          <w:marLeft w:val="0"/>
                          <w:marRight w:val="0"/>
                          <w:marTop w:val="0"/>
                          <w:marBottom w:val="0"/>
                          <w:divBdr>
                            <w:top w:val="none" w:sz="0" w:space="0" w:color="auto"/>
                            <w:left w:val="none" w:sz="0" w:space="0" w:color="auto"/>
                            <w:bottom w:val="none" w:sz="0" w:space="0" w:color="auto"/>
                            <w:right w:val="none" w:sz="0" w:space="0" w:color="auto"/>
                          </w:divBdr>
                          <w:divsChild>
                            <w:div w:id="303854576">
                              <w:marLeft w:val="0"/>
                              <w:marRight w:val="0"/>
                              <w:marTop w:val="0"/>
                              <w:marBottom w:val="0"/>
                              <w:divBdr>
                                <w:top w:val="none" w:sz="0" w:space="0" w:color="auto"/>
                                <w:left w:val="none" w:sz="0" w:space="0" w:color="auto"/>
                                <w:bottom w:val="none" w:sz="0" w:space="0" w:color="auto"/>
                                <w:right w:val="none" w:sz="0" w:space="0" w:color="auto"/>
                              </w:divBdr>
                              <w:divsChild>
                                <w:div w:id="597954649">
                                  <w:marLeft w:val="0"/>
                                  <w:marRight w:val="0"/>
                                  <w:marTop w:val="0"/>
                                  <w:marBottom w:val="0"/>
                                  <w:divBdr>
                                    <w:top w:val="none" w:sz="0" w:space="0" w:color="auto"/>
                                    <w:left w:val="none" w:sz="0" w:space="0" w:color="auto"/>
                                    <w:bottom w:val="none" w:sz="0" w:space="0" w:color="auto"/>
                                    <w:right w:val="none" w:sz="0" w:space="0" w:color="auto"/>
                                  </w:divBdr>
                                  <w:divsChild>
                                    <w:div w:id="139158173">
                                      <w:marLeft w:val="0"/>
                                      <w:marRight w:val="0"/>
                                      <w:marTop w:val="0"/>
                                      <w:marBottom w:val="0"/>
                                      <w:divBdr>
                                        <w:top w:val="none" w:sz="0" w:space="0" w:color="auto"/>
                                        <w:left w:val="none" w:sz="0" w:space="0" w:color="auto"/>
                                        <w:bottom w:val="none" w:sz="0" w:space="0" w:color="auto"/>
                                        <w:right w:val="none" w:sz="0" w:space="0" w:color="auto"/>
                                      </w:divBdr>
                                      <w:divsChild>
                                        <w:div w:id="651062764">
                                          <w:marLeft w:val="0"/>
                                          <w:marRight w:val="0"/>
                                          <w:marTop w:val="0"/>
                                          <w:marBottom w:val="0"/>
                                          <w:divBdr>
                                            <w:top w:val="none" w:sz="0" w:space="0" w:color="auto"/>
                                            <w:left w:val="none" w:sz="0" w:space="0" w:color="auto"/>
                                            <w:bottom w:val="none" w:sz="0" w:space="0" w:color="auto"/>
                                            <w:right w:val="none" w:sz="0" w:space="0" w:color="auto"/>
                                          </w:divBdr>
                                          <w:divsChild>
                                            <w:div w:id="1519729858">
                                              <w:marLeft w:val="0"/>
                                              <w:marRight w:val="0"/>
                                              <w:marTop w:val="0"/>
                                              <w:marBottom w:val="0"/>
                                              <w:divBdr>
                                                <w:top w:val="none" w:sz="0" w:space="0" w:color="auto"/>
                                                <w:left w:val="none" w:sz="0" w:space="0" w:color="auto"/>
                                                <w:bottom w:val="none" w:sz="0" w:space="0" w:color="auto"/>
                                                <w:right w:val="none" w:sz="0" w:space="0" w:color="auto"/>
                                              </w:divBdr>
                                              <w:divsChild>
                                                <w:div w:id="338239039">
                                                  <w:marLeft w:val="0"/>
                                                  <w:marRight w:val="0"/>
                                                  <w:marTop w:val="0"/>
                                                  <w:marBottom w:val="0"/>
                                                  <w:divBdr>
                                                    <w:top w:val="none" w:sz="0" w:space="0" w:color="auto"/>
                                                    <w:left w:val="none" w:sz="0" w:space="0" w:color="auto"/>
                                                    <w:bottom w:val="none" w:sz="0" w:space="0" w:color="auto"/>
                                                    <w:right w:val="none" w:sz="0" w:space="0" w:color="auto"/>
                                                  </w:divBdr>
                                                  <w:divsChild>
                                                    <w:div w:id="937443295">
                                                      <w:marLeft w:val="0"/>
                                                      <w:marRight w:val="0"/>
                                                      <w:marTop w:val="0"/>
                                                      <w:marBottom w:val="0"/>
                                                      <w:divBdr>
                                                        <w:top w:val="none" w:sz="0" w:space="0" w:color="auto"/>
                                                        <w:left w:val="none" w:sz="0" w:space="0" w:color="auto"/>
                                                        <w:bottom w:val="none" w:sz="0" w:space="0" w:color="auto"/>
                                                        <w:right w:val="none" w:sz="0" w:space="0" w:color="auto"/>
                                                      </w:divBdr>
                                                      <w:divsChild>
                                                        <w:div w:id="2048137952">
                                                          <w:marLeft w:val="0"/>
                                                          <w:marRight w:val="0"/>
                                                          <w:marTop w:val="0"/>
                                                          <w:marBottom w:val="0"/>
                                                          <w:divBdr>
                                                            <w:top w:val="none" w:sz="0" w:space="0" w:color="auto"/>
                                                            <w:left w:val="none" w:sz="0" w:space="0" w:color="auto"/>
                                                            <w:bottom w:val="none" w:sz="0" w:space="0" w:color="auto"/>
                                                            <w:right w:val="none" w:sz="0" w:space="0" w:color="auto"/>
                                                          </w:divBdr>
                                                          <w:divsChild>
                                                            <w:div w:id="922298081">
                                                              <w:marLeft w:val="0"/>
                                                              <w:marRight w:val="0"/>
                                                              <w:marTop w:val="0"/>
                                                              <w:marBottom w:val="0"/>
                                                              <w:divBdr>
                                                                <w:top w:val="none" w:sz="0" w:space="0" w:color="auto"/>
                                                                <w:left w:val="none" w:sz="0" w:space="0" w:color="auto"/>
                                                                <w:bottom w:val="none" w:sz="0" w:space="0" w:color="auto"/>
                                                                <w:right w:val="none" w:sz="0" w:space="0" w:color="auto"/>
                                                              </w:divBdr>
                                                              <w:divsChild>
                                                                <w:div w:id="31155865">
                                                                  <w:marLeft w:val="0"/>
                                                                  <w:marRight w:val="0"/>
                                                                  <w:marTop w:val="0"/>
                                                                  <w:marBottom w:val="0"/>
                                                                  <w:divBdr>
                                                                    <w:top w:val="none" w:sz="0" w:space="0" w:color="auto"/>
                                                                    <w:left w:val="none" w:sz="0" w:space="0" w:color="auto"/>
                                                                    <w:bottom w:val="none" w:sz="0" w:space="0" w:color="auto"/>
                                                                    <w:right w:val="none" w:sz="0" w:space="0" w:color="auto"/>
                                                                  </w:divBdr>
                                                                  <w:divsChild>
                                                                    <w:div w:id="824854346">
                                                                      <w:marLeft w:val="0"/>
                                                                      <w:marRight w:val="0"/>
                                                                      <w:marTop w:val="0"/>
                                                                      <w:marBottom w:val="0"/>
                                                                      <w:divBdr>
                                                                        <w:top w:val="none" w:sz="0" w:space="0" w:color="auto"/>
                                                                        <w:left w:val="none" w:sz="0" w:space="0" w:color="auto"/>
                                                                        <w:bottom w:val="none" w:sz="0" w:space="0" w:color="auto"/>
                                                                        <w:right w:val="none" w:sz="0" w:space="0" w:color="auto"/>
                                                                      </w:divBdr>
                                                                      <w:divsChild>
                                                                        <w:div w:id="1733577542">
                                                                          <w:marLeft w:val="0"/>
                                                                          <w:marRight w:val="0"/>
                                                                          <w:marTop w:val="0"/>
                                                                          <w:marBottom w:val="0"/>
                                                                          <w:divBdr>
                                                                            <w:top w:val="none" w:sz="0" w:space="0" w:color="auto"/>
                                                                            <w:left w:val="none" w:sz="0" w:space="0" w:color="auto"/>
                                                                            <w:bottom w:val="none" w:sz="0" w:space="0" w:color="auto"/>
                                                                            <w:right w:val="none" w:sz="0" w:space="0" w:color="auto"/>
                                                                          </w:divBdr>
                                                                          <w:divsChild>
                                                                            <w:div w:id="1786727404">
                                                                              <w:marLeft w:val="0"/>
                                                                              <w:marRight w:val="0"/>
                                                                              <w:marTop w:val="0"/>
                                                                              <w:marBottom w:val="0"/>
                                                                              <w:divBdr>
                                                                                <w:top w:val="none" w:sz="0" w:space="0" w:color="auto"/>
                                                                                <w:left w:val="none" w:sz="0" w:space="0" w:color="auto"/>
                                                                                <w:bottom w:val="none" w:sz="0" w:space="0" w:color="auto"/>
                                                                                <w:right w:val="none" w:sz="0" w:space="0" w:color="auto"/>
                                                                              </w:divBdr>
                                                                              <w:divsChild>
                                                                                <w:div w:id="53235137">
                                                                                  <w:marLeft w:val="0"/>
                                                                                  <w:marRight w:val="0"/>
                                                                                  <w:marTop w:val="0"/>
                                                                                  <w:marBottom w:val="0"/>
                                                                                  <w:divBdr>
                                                                                    <w:top w:val="none" w:sz="0" w:space="0" w:color="auto"/>
                                                                                    <w:left w:val="none" w:sz="0" w:space="0" w:color="auto"/>
                                                                                    <w:bottom w:val="none" w:sz="0" w:space="0" w:color="auto"/>
                                                                                    <w:right w:val="none" w:sz="0" w:space="0" w:color="auto"/>
                                                                                  </w:divBdr>
                                                                                  <w:divsChild>
                                                                                    <w:div w:id="1325861635">
                                                                                      <w:marLeft w:val="0"/>
                                                                                      <w:marRight w:val="0"/>
                                                                                      <w:marTop w:val="0"/>
                                                                                      <w:marBottom w:val="0"/>
                                                                                      <w:divBdr>
                                                                                        <w:top w:val="none" w:sz="0" w:space="0" w:color="auto"/>
                                                                                        <w:left w:val="none" w:sz="0" w:space="0" w:color="auto"/>
                                                                                        <w:bottom w:val="none" w:sz="0" w:space="0" w:color="auto"/>
                                                                                        <w:right w:val="none" w:sz="0" w:space="0" w:color="auto"/>
                                                                                      </w:divBdr>
                                                                                      <w:divsChild>
                                                                                        <w:div w:id="1872113503">
                                                                                          <w:marLeft w:val="0"/>
                                                                                          <w:marRight w:val="0"/>
                                                                                          <w:marTop w:val="0"/>
                                                                                          <w:marBottom w:val="0"/>
                                                                                          <w:divBdr>
                                                                                            <w:top w:val="none" w:sz="0" w:space="0" w:color="auto"/>
                                                                                            <w:left w:val="none" w:sz="0" w:space="0" w:color="auto"/>
                                                                                            <w:bottom w:val="none" w:sz="0" w:space="0" w:color="auto"/>
                                                                                            <w:right w:val="none" w:sz="0" w:space="0" w:color="auto"/>
                                                                                          </w:divBdr>
                                                                                          <w:divsChild>
                                                                                            <w:div w:id="903032798">
                                                                                              <w:marLeft w:val="0"/>
                                                                                              <w:marRight w:val="0"/>
                                                                                              <w:marTop w:val="0"/>
                                                                                              <w:marBottom w:val="0"/>
                                                                                              <w:divBdr>
                                                                                                <w:top w:val="none" w:sz="0" w:space="0" w:color="auto"/>
                                                                                                <w:left w:val="none" w:sz="0" w:space="0" w:color="auto"/>
                                                                                                <w:bottom w:val="none" w:sz="0" w:space="0" w:color="auto"/>
                                                                                                <w:right w:val="none" w:sz="0" w:space="0" w:color="auto"/>
                                                                                              </w:divBdr>
                                                                                              <w:divsChild>
                                                                                                <w:div w:id="369649268">
                                                                                                  <w:marLeft w:val="0"/>
                                                                                                  <w:marRight w:val="0"/>
                                                                                                  <w:marTop w:val="0"/>
                                                                                                  <w:marBottom w:val="0"/>
                                                                                                  <w:divBdr>
                                                                                                    <w:top w:val="none" w:sz="0" w:space="0" w:color="auto"/>
                                                                                                    <w:left w:val="none" w:sz="0" w:space="0" w:color="auto"/>
                                                                                                    <w:bottom w:val="none" w:sz="0" w:space="0" w:color="auto"/>
                                                                                                    <w:right w:val="none" w:sz="0" w:space="0" w:color="auto"/>
                                                                                                  </w:divBdr>
                                                                                                  <w:divsChild>
                                                                                                    <w:div w:id="826436346">
                                                                                                      <w:marLeft w:val="0"/>
                                                                                                      <w:marRight w:val="0"/>
                                                                                                      <w:marTop w:val="0"/>
                                                                                                      <w:marBottom w:val="0"/>
                                                                                                      <w:divBdr>
                                                                                                        <w:top w:val="none" w:sz="0" w:space="0" w:color="auto"/>
                                                                                                        <w:left w:val="none" w:sz="0" w:space="0" w:color="auto"/>
                                                                                                        <w:bottom w:val="none" w:sz="0" w:space="0" w:color="auto"/>
                                                                                                        <w:right w:val="none" w:sz="0" w:space="0" w:color="auto"/>
                                                                                                      </w:divBdr>
                                                                                                      <w:divsChild>
                                                                                                        <w:div w:id="1846363753">
                                                                                                          <w:marLeft w:val="0"/>
                                                                                                          <w:marRight w:val="0"/>
                                                                                                          <w:marTop w:val="0"/>
                                                                                                          <w:marBottom w:val="0"/>
                                                                                                          <w:divBdr>
                                                                                                            <w:top w:val="none" w:sz="0" w:space="0" w:color="auto"/>
                                                                                                            <w:left w:val="none" w:sz="0" w:space="0" w:color="auto"/>
                                                                                                            <w:bottom w:val="none" w:sz="0" w:space="0" w:color="auto"/>
                                                                                                            <w:right w:val="none" w:sz="0" w:space="0" w:color="auto"/>
                                                                                                          </w:divBdr>
                                                                                                          <w:divsChild>
                                                                                                            <w:div w:id="567881271">
                                                                                                              <w:marLeft w:val="0"/>
                                                                                                              <w:marRight w:val="0"/>
                                                                                                              <w:marTop w:val="0"/>
                                                                                                              <w:marBottom w:val="0"/>
                                                                                                              <w:divBdr>
                                                                                                                <w:top w:val="none" w:sz="0" w:space="0" w:color="auto"/>
                                                                                                                <w:left w:val="none" w:sz="0" w:space="0" w:color="auto"/>
                                                                                                                <w:bottom w:val="none" w:sz="0" w:space="0" w:color="auto"/>
                                                                                                                <w:right w:val="none" w:sz="0" w:space="0" w:color="auto"/>
                                                                                                              </w:divBdr>
                                                                                                              <w:divsChild>
                                                                                                                <w:div w:id="1530097647">
                                                                                                                  <w:marLeft w:val="0"/>
                                                                                                                  <w:marRight w:val="0"/>
                                                                                                                  <w:marTop w:val="0"/>
                                                                                                                  <w:marBottom w:val="0"/>
                                                                                                                  <w:divBdr>
                                                                                                                    <w:top w:val="none" w:sz="0" w:space="0" w:color="auto"/>
                                                                                                                    <w:left w:val="none" w:sz="0" w:space="0" w:color="auto"/>
                                                                                                                    <w:bottom w:val="none" w:sz="0" w:space="0" w:color="auto"/>
                                                                                                                    <w:right w:val="none" w:sz="0" w:space="0" w:color="auto"/>
                                                                                                                  </w:divBdr>
                                                                                                                  <w:divsChild>
                                                                                                                    <w:div w:id="606233066">
                                                                                                                      <w:marLeft w:val="0"/>
                                                                                                                      <w:marRight w:val="0"/>
                                                                                                                      <w:marTop w:val="0"/>
                                                                                                                      <w:marBottom w:val="0"/>
                                                                                                                      <w:divBdr>
                                                                                                                        <w:top w:val="none" w:sz="0" w:space="0" w:color="auto"/>
                                                                                                                        <w:left w:val="none" w:sz="0" w:space="0" w:color="auto"/>
                                                                                                                        <w:bottom w:val="none" w:sz="0" w:space="0" w:color="auto"/>
                                                                                                                        <w:right w:val="none" w:sz="0" w:space="0" w:color="auto"/>
                                                                                                                      </w:divBdr>
                                                                                                                      <w:divsChild>
                                                                                                                        <w:div w:id="369771090">
                                                                                                                          <w:marLeft w:val="0"/>
                                                                                                                          <w:marRight w:val="0"/>
                                                                                                                          <w:marTop w:val="0"/>
                                                                                                                          <w:marBottom w:val="0"/>
                                                                                                                          <w:divBdr>
                                                                                                                            <w:top w:val="none" w:sz="0" w:space="0" w:color="auto"/>
                                                                                                                            <w:left w:val="none" w:sz="0" w:space="0" w:color="auto"/>
                                                                                                                            <w:bottom w:val="none" w:sz="0" w:space="0" w:color="auto"/>
                                                                                                                            <w:right w:val="none" w:sz="0" w:space="0" w:color="auto"/>
                                                                                                                          </w:divBdr>
                                                                                                                          <w:divsChild>
                                                                                                                            <w:div w:id="260453489">
                                                                                                                              <w:marLeft w:val="0"/>
                                                                                                                              <w:marRight w:val="0"/>
                                                                                                                              <w:marTop w:val="0"/>
                                                                                                                              <w:marBottom w:val="0"/>
                                                                                                                              <w:divBdr>
                                                                                                                                <w:top w:val="none" w:sz="0" w:space="0" w:color="auto"/>
                                                                                                                                <w:left w:val="none" w:sz="0" w:space="0" w:color="auto"/>
                                                                                                                                <w:bottom w:val="none" w:sz="0" w:space="0" w:color="auto"/>
                                                                                                                                <w:right w:val="none" w:sz="0" w:space="0" w:color="auto"/>
                                                                                                                              </w:divBdr>
                                                                                                                              <w:divsChild>
                                                                                                                                <w:div w:id="1086685148">
                                                                                                                                  <w:marLeft w:val="0"/>
                                                                                                                                  <w:marRight w:val="0"/>
                                                                                                                                  <w:marTop w:val="0"/>
                                                                                                                                  <w:marBottom w:val="0"/>
                                                                                                                                  <w:divBdr>
                                                                                                                                    <w:top w:val="none" w:sz="0" w:space="0" w:color="auto"/>
                                                                                                                                    <w:left w:val="none" w:sz="0" w:space="0" w:color="auto"/>
                                                                                                                                    <w:bottom w:val="none" w:sz="0" w:space="0" w:color="auto"/>
                                                                                                                                    <w:right w:val="none" w:sz="0" w:space="0" w:color="auto"/>
                                                                                                                                  </w:divBdr>
                                                                                                                                  <w:divsChild>
                                                                                                                                    <w:div w:id="1010789223">
                                                                                                                                      <w:marLeft w:val="0"/>
                                                                                                                                      <w:marRight w:val="0"/>
                                                                                                                                      <w:marTop w:val="0"/>
                                                                                                                                      <w:marBottom w:val="0"/>
                                                                                                                                      <w:divBdr>
                                                                                                                                        <w:top w:val="none" w:sz="0" w:space="0" w:color="auto"/>
                                                                                                                                        <w:left w:val="none" w:sz="0" w:space="0" w:color="auto"/>
                                                                                                                                        <w:bottom w:val="none" w:sz="0" w:space="0" w:color="auto"/>
                                                                                                                                        <w:right w:val="none" w:sz="0" w:space="0" w:color="auto"/>
                                                                                                                                      </w:divBdr>
                                                                                                                                      <w:divsChild>
                                                                                                                                        <w:div w:id="1793984563">
                                                                                                                                          <w:marLeft w:val="0"/>
                                                                                                                                          <w:marRight w:val="0"/>
                                                                                                                                          <w:marTop w:val="0"/>
                                                                                                                                          <w:marBottom w:val="0"/>
                                                                                                                                          <w:divBdr>
                                                                                                                                            <w:top w:val="none" w:sz="0" w:space="0" w:color="auto"/>
                                                                                                                                            <w:left w:val="none" w:sz="0" w:space="0" w:color="auto"/>
                                                                                                                                            <w:bottom w:val="none" w:sz="0" w:space="0" w:color="auto"/>
                                                                                                                                            <w:right w:val="none" w:sz="0" w:space="0" w:color="auto"/>
                                                                                                                                          </w:divBdr>
                                                                                                                                          <w:divsChild>
                                                                                                                                            <w:div w:id="1230649161">
                                                                                                                                              <w:marLeft w:val="0"/>
                                                                                                                                              <w:marRight w:val="0"/>
                                                                                                                                              <w:marTop w:val="0"/>
                                                                                                                                              <w:marBottom w:val="0"/>
                                                                                                                                              <w:divBdr>
                                                                                                                                                <w:top w:val="none" w:sz="0" w:space="0" w:color="auto"/>
                                                                                                                                                <w:left w:val="none" w:sz="0" w:space="0" w:color="auto"/>
                                                                                                                                                <w:bottom w:val="none" w:sz="0" w:space="0" w:color="auto"/>
                                                                                                                                                <w:right w:val="none" w:sz="0" w:space="0" w:color="auto"/>
                                                                                                                                              </w:divBdr>
                                                                                                                                              <w:divsChild>
                                                                                                                                                <w:div w:id="1661424242">
                                                                                                                                                  <w:marLeft w:val="0"/>
                                                                                                                                                  <w:marRight w:val="0"/>
                                                                                                                                                  <w:marTop w:val="0"/>
                                                                                                                                                  <w:marBottom w:val="0"/>
                                                                                                                                                  <w:divBdr>
                                                                                                                                                    <w:top w:val="none" w:sz="0" w:space="0" w:color="auto"/>
                                                                                                                                                    <w:left w:val="none" w:sz="0" w:space="0" w:color="auto"/>
                                                                                                                                                    <w:bottom w:val="none" w:sz="0" w:space="0" w:color="auto"/>
                                                                                                                                                    <w:right w:val="none" w:sz="0" w:space="0" w:color="auto"/>
                                                                                                                                                  </w:divBdr>
                                                                                                                                                  <w:divsChild>
                                                                                                                                                    <w:div w:id="839779035">
                                                                                                                                                      <w:marLeft w:val="0"/>
                                                                                                                                                      <w:marRight w:val="0"/>
                                                                                                                                                      <w:marTop w:val="0"/>
                                                                                                                                                      <w:marBottom w:val="0"/>
                                                                                                                                                      <w:divBdr>
                                                                                                                                                        <w:top w:val="none" w:sz="0" w:space="0" w:color="auto"/>
                                                                                                                                                        <w:left w:val="none" w:sz="0" w:space="0" w:color="auto"/>
                                                                                                                                                        <w:bottom w:val="none" w:sz="0" w:space="0" w:color="auto"/>
                                                                                                                                                        <w:right w:val="none" w:sz="0" w:space="0" w:color="auto"/>
                                                                                                                                                      </w:divBdr>
                                                                                                                                                      <w:divsChild>
                                                                                                                                                        <w:div w:id="602030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54697531">
      <w:bodyDiv w:val="1"/>
      <w:marLeft w:val="0"/>
      <w:marRight w:val="0"/>
      <w:marTop w:val="0"/>
      <w:marBottom w:val="0"/>
      <w:divBdr>
        <w:top w:val="none" w:sz="0" w:space="0" w:color="auto"/>
        <w:left w:val="none" w:sz="0" w:space="0" w:color="auto"/>
        <w:bottom w:val="none" w:sz="0" w:space="0" w:color="auto"/>
        <w:right w:val="none" w:sz="0" w:space="0" w:color="auto"/>
      </w:divBdr>
    </w:div>
    <w:div w:id="1108617783">
      <w:bodyDiv w:val="1"/>
      <w:marLeft w:val="0"/>
      <w:marRight w:val="0"/>
      <w:marTop w:val="0"/>
      <w:marBottom w:val="0"/>
      <w:divBdr>
        <w:top w:val="none" w:sz="0" w:space="0" w:color="auto"/>
        <w:left w:val="none" w:sz="0" w:space="0" w:color="auto"/>
        <w:bottom w:val="none" w:sz="0" w:space="0" w:color="auto"/>
        <w:right w:val="none" w:sz="0" w:space="0" w:color="auto"/>
      </w:divBdr>
    </w:div>
    <w:div w:id="1137263271">
      <w:bodyDiv w:val="1"/>
      <w:marLeft w:val="0"/>
      <w:marRight w:val="0"/>
      <w:marTop w:val="0"/>
      <w:marBottom w:val="0"/>
      <w:divBdr>
        <w:top w:val="none" w:sz="0" w:space="0" w:color="auto"/>
        <w:left w:val="none" w:sz="0" w:space="0" w:color="auto"/>
        <w:bottom w:val="none" w:sz="0" w:space="0" w:color="auto"/>
        <w:right w:val="none" w:sz="0" w:space="0" w:color="auto"/>
      </w:divBdr>
    </w:div>
    <w:div w:id="1159687872">
      <w:bodyDiv w:val="1"/>
      <w:marLeft w:val="0"/>
      <w:marRight w:val="0"/>
      <w:marTop w:val="0"/>
      <w:marBottom w:val="0"/>
      <w:divBdr>
        <w:top w:val="none" w:sz="0" w:space="0" w:color="auto"/>
        <w:left w:val="none" w:sz="0" w:space="0" w:color="auto"/>
        <w:bottom w:val="none" w:sz="0" w:space="0" w:color="auto"/>
        <w:right w:val="none" w:sz="0" w:space="0" w:color="auto"/>
      </w:divBdr>
    </w:div>
    <w:div w:id="1162812552">
      <w:bodyDiv w:val="1"/>
      <w:marLeft w:val="0"/>
      <w:marRight w:val="0"/>
      <w:marTop w:val="0"/>
      <w:marBottom w:val="0"/>
      <w:divBdr>
        <w:top w:val="none" w:sz="0" w:space="0" w:color="auto"/>
        <w:left w:val="none" w:sz="0" w:space="0" w:color="auto"/>
        <w:bottom w:val="none" w:sz="0" w:space="0" w:color="auto"/>
        <w:right w:val="none" w:sz="0" w:space="0" w:color="auto"/>
      </w:divBdr>
    </w:div>
    <w:div w:id="1334995148">
      <w:bodyDiv w:val="1"/>
      <w:marLeft w:val="0"/>
      <w:marRight w:val="0"/>
      <w:marTop w:val="0"/>
      <w:marBottom w:val="0"/>
      <w:divBdr>
        <w:top w:val="none" w:sz="0" w:space="0" w:color="auto"/>
        <w:left w:val="none" w:sz="0" w:space="0" w:color="auto"/>
        <w:bottom w:val="none" w:sz="0" w:space="0" w:color="auto"/>
        <w:right w:val="none" w:sz="0" w:space="0" w:color="auto"/>
      </w:divBdr>
    </w:div>
    <w:div w:id="1372876997">
      <w:bodyDiv w:val="1"/>
      <w:marLeft w:val="0"/>
      <w:marRight w:val="0"/>
      <w:marTop w:val="0"/>
      <w:marBottom w:val="0"/>
      <w:divBdr>
        <w:top w:val="none" w:sz="0" w:space="0" w:color="auto"/>
        <w:left w:val="none" w:sz="0" w:space="0" w:color="auto"/>
        <w:bottom w:val="none" w:sz="0" w:space="0" w:color="auto"/>
        <w:right w:val="none" w:sz="0" w:space="0" w:color="auto"/>
      </w:divBdr>
      <w:divsChild>
        <w:div w:id="2066636877">
          <w:marLeft w:val="0"/>
          <w:marRight w:val="0"/>
          <w:marTop w:val="0"/>
          <w:marBottom w:val="0"/>
          <w:divBdr>
            <w:top w:val="none" w:sz="0" w:space="0" w:color="auto"/>
            <w:left w:val="none" w:sz="0" w:space="0" w:color="auto"/>
            <w:bottom w:val="none" w:sz="0" w:space="0" w:color="auto"/>
            <w:right w:val="none" w:sz="0" w:space="0" w:color="auto"/>
          </w:divBdr>
          <w:divsChild>
            <w:div w:id="677848015">
              <w:marLeft w:val="0"/>
              <w:marRight w:val="0"/>
              <w:marTop w:val="0"/>
              <w:marBottom w:val="0"/>
              <w:divBdr>
                <w:top w:val="none" w:sz="0" w:space="0" w:color="auto"/>
                <w:left w:val="none" w:sz="0" w:space="0" w:color="auto"/>
                <w:bottom w:val="none" w:sz="0" w:space="0" w:color="auto"/>
                <w:right w:val="none" w:sz="0" w:space="0" w:color="auto"/>
              </w:divBdr>
              <w:divsChild>
                <w:div w:id="1664434945">
                  <w:marLeft w:val="0"/>
                  <w:marRight w:val="0"/>
                  <w:marTop w:val="0"/>
                  <w:marBottom w:val="0"/>
                  <w:divBdr>
                    <w:top w:val="none" w:sz="0" w:space="0" w:color="auto"/>
                    <w:left w:val="none" w:sz="0" w:space="0" w:color="auto"/>
                    <w:bottom w:val="none" w:sz="0" w:space="0" w:color="auto"/>
                    <w:right w:val="none" w:sz="0" w:space="0" w:color="auto"/>
                  </w:divBdr>
                  <w:divsChild>
                    <w:div w:id="1938827055">
                      <w:marLeft w:val="0"/>
                      <w:marRight w:val="0"/>
                      <w:marTop w:val="0"/>
                      <w:marBottom w:val="0"/>
                      <w:divBdr>
                        <w:top w:val="none" w:sz="0" w:space="0" w:color="auto"/>
                        <w:left w:val="none" w:sz="0" w:space="0" w:color="auto"/>
                        <w:bottom w:val="none" w:sz="0" w:space="0" w:color="auto"/>
                        <w:right w:val="none" w:sz="0" w:space="0" w:color="auto"/>
                      </w:divBdr>
                      <w:divsChild>
                        <w:div w:id="1344817399">
                          <w:marLeft w:val="0"/>
                          <w:marRight w:val="0"/>
                          <w:marTop w:val="0"/>
                          <w:marBottom w:val="0"/>
                          <w:divBdr>
                            <w:top w:val="none" w:sz="0" w:space="0" w:color="auto"/>
                            <w:left w:val="none" w:sz="0" w:space="0" w:color="auto"/>
                            <w:bottom w:val="none" w:sz="0" w:space="0" w:color="auto"/>
                            <w:right w:val="none" w:sz="0" w:space="0" w:color="auto"/>
                          </w:divBdr>
                          <w:divsChild>
                            <w:div w:id="630523295">
                              <w:marLeft w:val="0"/>
                              <w:marRight w:val="0"/>
                              <w:marTop w:val="0"/>
                              <w:marBottom w:val="0"/>
                              <w:divBdr>
                                <w:top w:val="none" w:sz="0" w:space="0" w:color="auto"/>
                                <w:left w:val="none" w:sz="0" w:space="0" w:color="auto"/>
                                <w:bottom w:val="none" w:sz="0" w:space="0" w:color="auto"/>
                                <w:right w:val="none" w:sz="0" w:space="0" w:color="auto"/>
                              </w:divBdr>
                              <w:divsChild>
                                <w:div w:id="1498812787">
                                  <w:marLeft w:val="0"/>
                                  <w:marRight w:val="0"/>
                                  <w:marTop w:val="0"/>
                                  <w:marBottom w:val="0"/>
                                  <w:divBdr>
                                    <w:top w:val="none" w:sz="0" w:space="0" w:color="auto"/>
                                    <w:left w:val="none" w:sz="0" w:space="0" w:color="auto"/>
                                    <w:bottom w:val="none" w:sz="0" w:space="0" w:color="auto"/>
                                    <w:right w:val="none" w:sz="0" w:space="0" w:color="auto"/>
                                  </w:divBdr>
                                  <w:divsChild>
                                    <w:div w:id="383531479">
                                      <w:marLeft w:val="0"/>
                                      <w:marRight w:val="0"/>
                                      <w:marTop w:val="0"/>
                                      <w:marBottom w:val="0"/>
                                      <w:divBdr>
                                        <w:top w:val="none" w:sz="0" w:space="0" w:color="auto"/>
                                        <w:left w:val="none" w:sz="0" w:space="0" w:color="auto"/>
                                        <w:bottom w:val="none" w:sz="0" w:space="0" w:color="auto"/>
                                        <w:right w:val="none" w:sz="0" w:space="0" w:color="auto"/>
                                      </w:divBdr>
                                      <w:divsChild>
                                        <w:div w:id="402266677">
                                          <w:marLeft w:val="0"/>
                                          <w:marRight w:val="0"/>
                                          <w:marTop w:val="0"/>
                                          <w:marBottom w:val="0"/>
                                          <w:divBdr>
                                            <w:top w:val="none" w:sz="0" w:space="0" w:color="auto"/>
                                            <w:left w:val="none" w:sz="0" w:space="0" w:color="auto"/>
                                            <w:bottom w:val="none" w:sz="0" w:space="0" w:color="auto"/>
                                            <w:right w:val="none" w:sz="0" w:space="0" w:color="auto"/>
                                          </w:divBdr>
                                          <w:divsChild>
                                            <w:div w:id="1774398409">
                                              <w:marLeft w:val="0"/>
                                              <w:marRight w:val="0"/>
                                              <w:marTop w:val="0"/>
                                              <w:marBottom w:val="0"/>
                                              <w:divBdr>
                                                <w:top w:val="none" w:sz="0" w:space="0" w:color="auto"/>
                                                <w:left w:val="none" w:sz="0" w:space="0" w:color="auto"/>
                                                <w:bottom w:val="none" w:sz="0" w:space="0" w:color="auto"/>
                                                <w:right w:val="none" w:sz="0" w:space="0" w:color="auto"/>
                                              </w:divBdr>
                                              <w:divsChild>
                                                <w:div w:id="132723160">
                                                  <w:marLeft w:val="0"/>
                                                  <w:marRight w:val="0"/>
                                                  <w:marTop w:val="0"/>
                                                  <w:marBottom w:val="0"/>
                                                  <w:divBdr>
                                                    <w:top w:val="none" w:sz="0" w:space="0" w:color="auto"/>
                                                    <w:left w:val="none" w:sz="0" w:space="0" w:color="auto"/>
                                                    <w:bottom w:val="none" w:sz="0" w:space="0" w:color="auto"/>
                                                    <w:right w:val="none" w:sz="0" w:space="0" w:color="auto"/>
                                                  </w:divBdr>
                                                  <w:divsChild>
                                                    <w:div w:id="345864932">
                                                      <w:marLeft w:val="0"/>
                                                      <w:marRight w:val="0"/>
                                                      <w:marTop w:val="0"/>
                                                      <w:marBottom w:val="0"/>
                                                      <w:divBdr>
                                                        <w:top w:val="none" w:sz="0" w:space="0" w:color="auto"/>
                                                        <w:left w:val="none" w:sz="0" w:space="0" w:color="auto"/>
                                                        <w:bottom w:val="none" w:sz="0" w:space="0" w:color="auto"/>
                                                        <w:right w:val="none" w:sz="0" w:space="0" w:color="auto"/>
                                                      </w:divBdr>
                                                      <w:divsChild>
                                                        <w:div w:id="2008440877">
                                                          <w:marLeft w:val="0"/>
                                                          <w:marRight w:val="0"/>
                                                          <w:marTop w:val="0"/>
                                                          <w:marBottom w:val="0"/>
                                                          <w:divBdr>
                                                            <w:top w:val="none" w:sz="0" w:space="0" w:color="auto"/>
                                                            <w:left w:val="none" w:sz="0" w:space="0" w:color="auto"/>
                                                            <w:bottom w:val="none" w:sz="0" w:space="0" w:color="auto"/>
                                                            <w:right w:val="none" w:sz="0" w:space="0" w:color="auto"/>
                                                          </w:divBdr>
                                                          <w:divsChild>
                                                            <w:div w:id="1225600091">
                                                              <w:marLeft w:val="0"/>
                                                              <w:marRight w:val="0"/>
                                                              <w:marTop w:val="0"/>
                                                              <w:marBottom w:val="0"/>
                                                              <w:divBdr>
                                                                <w:top w:val="none" w:sz="0" w:space="0" w:color="auto"/>
                                                                <w:left w:val="none" w:sz="0" w:space="0" w:color="auto"/>
                                                                <w:bottom w:val="none" w:sz="0" w:space="0" w:color="auto"/>
                                                                <w:right w:val="none" w:sz="0" w:space="0" w:color="auto"/>
                                                              </w:divBdr>
                                                              <w:divsChild>
                                                                <w:div w:id="1630361502">
                                                                  <w:marLeft w:val="0"/>
                                                                  <w:marRight w:val="0"/>
                                                                  <w:marTop w:val="0"/>
                                                                  <w:marBottom w:val="0"/>
                                                                  <w:divBdr>
                                                                    <w:top w:val="none" w:sz="0" w:space="0" w:color="auto"/>
                                                                    <w:left w:val="none" w:sz="0" w:space="0" w:color="auto"/>
                                                                    <w:bottom w:val="none" w:sz="0" w:space="0" w:color="auto"/>
                                                                    <w:right w:val="none" w:sz="0" w:space="0" w:color="auto"/>
                                                                  </w:divBdr>
                                                                  <w:divsChild>
                                                                    <w:div w:id="721292259">
                                                                      <w:marLeft w:val="0"/>
                                                                      <w:marRight w:val="0"/>
                                                                      <w:marTop w:val="0"/>
                                                                      <w:marBottom w:val="0"/>
                                                                      <w:divBdr>
                                                                        <w:top w:val="none" w:sz="0" w:space="0" w:color="auto"/>
                                                                        <w:left w:val="none" w:sz="0" w:space="0" w:color="auto"/>
                                                                        <w:bottom w:val="none" w:sz="0" w:space="0" w:color="auto"/>
                                                                        <w:right w:val="none" w:sz="0" w:space="0" w:color="auto"/>
                                                                      </w:divBdr>
                                                                      <w:divsChild>
                                                                        <w:div w:id="1389306681">
                                                                          <w:marLeft w:val="0"/>
                                                                          <w:marRight w:val="0"/>
                                                                          <w:marTop w:val="0"/>
                                                                          <w:marBottom w:val="0"/>
                                                                          <w:divBdr>
                                                                            <w:top w:val="none" w:sz="0" w:space="0" w:color="auto"/>
                                                                            <w:left w:val="none" w:sz="0" w:space="0" w:color="auto"/>
                                                                            <w:bottom w:val="none" w:sz="0" w:space="0" w:color="auto"/>
                                                                            <w:right w:val="none" w:sz="0" w:space="0" w:color="auto"/>
                                                                          </w:divBdr>
                                                                          <w:divsChild>
                                                                            <w:div w:id="830947728">
                                                                              <w:marLeft w:val="0"/>
                                                                              <w:marRight w:val="0"/>
                                                                              <w:marTop w:val="0"/>
                                                                              <w:marBottom w:val="0"/>
                                                                              <w:divBdr>
                                                                                <w:top w:val="none" w:sz="0" w:space="0" w:color="auto"/>
                                                                                <w:left w:val="none" w:sz="0" w:space="0" w:color="auto"/>
                                                                                <w:bottom w:val="none" w:sz="0" w:space="0" w:color="auto"/>
                                                                                <w:right w:val="none" w:sz="0" w:space="0" w:color="auto"/>
                                                                              </w:divBdr>
                                                                              <w:divsChild>
                                                                                <w:div w:id="1321738734">
                                                                                  <w:marLeft w:val="0"/>
                                                                                  <w:marRight w:val="0"/>
                                                                                  <w:marTop w:val="0"/>
                                                                                  <w:marBottom w:val="0"/>
                                                                                  <w:divBdr>
                                                                                    <w:top w:val="none" w:sz="0" w:space="0" w:color="auto"/>
                                                                                    <w:left w:val="none" w:sz="0" w:space="0" w:color="auto"/>
                                                                                    <w:bottom w:val="none" w:sz="0" w:space="0" w:color="auto"/>
                                                                                    <w:right w:val="none" w:sz="0" w:space="0" w:color="auto"/>
                                                                                  </w:divBdr>
                                                                                  <w:divsChild>
                                                                                    <w:div w:id="1334147485">
                                                                                      <w:marLeft w:val="0"/>
                                                                                      <w:marRight w:val="0"/>
                                                                                      <w:marTop w:val="0"/>
                                                                                      <w:marBottom w:val="0"/>
                                                                                      <w:divBdr>
                                                                                        <w:top w:val="none" w:sz="0" w:space="0" w:color="auto"/>
                                                                                        <w:left w:val="none" w:sz="0" w:space="0" w:color="auto"/>
                                                                                        <w:bottom w:val="none" w:sz="0" w:space="0" w:color="auto"/>
                                                                                        <w:right w:val="none" w:sz="0" w:space="0" w:color="auto"/>
                                                                                      </w:divBdr>
                                                                                      <w:divsChild>
                                                                                        <w:div w:id="674265189">
                                                                                          <w:marLeft w:val="0"/>
                                                                                          <w:marRight w:val="0"/>
                                                                                          <w:marTop w:val="0"/>
                                                                                          <w:marBottom w:val="0"/>
                                                                                          <w:divBdr>
                                                                                            <w:top w:val="none" w:sz="0" w:space="0" w:color="auto"/>
                                                                                            <w:left w:val="none" w:sz="0" w:space="0" w:color="auto"/>
                                                                                            <w:bottom w:val="none" w:sz="0" w:space="0" w:color="auto"/>
                                                                                            <w:right w:val="none" w:sz="0" w:space="0" w:color="auto"/>
                                                                                          </w:divBdr>
                                                                                          <w:divsChild>
                                                                                            <w:div w:id="1815440862">
                                                                                              <w:marLeft w:val="0"/>
                                                                                              <w:marRight w:val="0"/>
                                                                                              <w:marTop w:val="0"/>
                                                                                              <w:marBottom w:val="0"/>
                                                                                              <w:divBdr>
                                                                                                <w:top w:val="none" w:sz="0" w:space="0" w:color="auto"/>
                                                                                                <w:left w:val="none" w:sz="0" w:space="0" w:color="auto"/>
                                                                                                <w:bottom w:val="none" w:sz="0" w:space="0" w:color="auto"/>
                                                                                                <w:right w:val="none" w:sz="0" w:space="0" w:color="auto"/>
                                                                                              </w:divBdr>
                                                                                              <w:divsChild>
                                                                                                <w:div w:id="732193335">
                                                                                                  <w:marLeft w:val="0"/>
                                                                                                  <w:marRight w:val="0"/>
                                                                                                  <w:marTop w:val="0"/>
                                                                                                  <w:marBottom w:val="0"/>
                                                                                                  <w:divBdr>
                                                                                                    <w:top w:val="none" w:sz="0" w:space="0" w:color="auto"/>
                                                                                                    <w:left w:val="none" w:sz="0" w:space="0" w:color="auto"/>
                                                                                                    <w:bottom w:val="none" w:sz="0" w:space="0" w:color="auto"/>
                                                                                                    <w:right w:val="none" w:sz="0" w:space="0" w:color="auto"/>
                                                                                                  </w:divBdr>
                                                                                                  <w:divsChild>
                                                                                                    <w:div w:id="570391086">
                                                                                                      <w:marLeft w:val="0"/>
                                                                                                      <w:marRight w:val="0"/>
                                                                                                      <w:marTop w:val="0"/>
                                                                                                      <w:marBottom w:val="0"/>
                                                                                                      <w:divBdr>
                                                                                                        <w:top w:val="none" w:sz="0" w:space="0" w:color="auto"/>
                                                                                                        <w:left w:val="none" w:sz="0" w:space="0" w:color="auto"/>
                                                                                                        <w:bottom w:val="none" w:sz="0" w:space="0" w:color="auto"/>
                                                                                                        <w:right w:val="none" w:sz="0" w:space="0" w:color="auto"/>
                                                                                                      </w:divBdr>
                                                                                                      <w:divsChild>
                                                                                                        <w:div w:id="1364597419">
                                                                                                          <w:marLeft w:val="0"/>
                                                                                                          <w:marRight w:val="0"/>
                                                                                                          <w:marTop w:val="0"/>
                                                                                                          <w:marBottom w:val="0"/>
                                                                                                          <w:divBdr>
                                                                                                            <w:top w:val="none" w:sz="0" w:space="0" w:color="auto"/>
                                                                                                            <w:left w:val="none" w:sz="0" w:space="0" w:color="auto"/>
                                                                                                            <w:bottom w:val="none" w:sz="0" w:space="0" w:color="auto"/>
                                                                                                            <w:right w:val="none" w:sz="0" w:space="0" w:color="auto"/>
                                                                                                          </w:divBdr>
                                                                                                          <w:divsChild>
                                                                                                            <w:div w:id="344987231">
                                                                                                              <w:marLeft w:val="0"/>
                                                                                                              <w:marRight w:val="0"/>
                                                                                                              <w:marTop w:val="0"/>
                                                                                                              <w:marBottom w:val="0"/>
                                                                                                              <w:divBdr>
                                                                                                                <w:top w:val="none" w:sz="0" w:space="0" w:color="auto"/>
                                                                                                                <w:left w:val="none" w:sz="0" w:space="0" w:color="auto"/>
                                                                                                                <w:bottom w:val="none" w:sz="0" w:space="0" w:color="auto"/>
                                                                                                                <w:right w:val="none" w:sz="0" w:space="0" w:color="auto"/>
                                                                                                              </w:divBdr>
                                                                                                              <w:divsChild>
                                                                                                                <w:div w:id="122309459">
                                                                                                                  <w:marLeft w:val="0"/>
                                                                                                                  <w:marRight w:val="0"/>
                                                                                                                  <w:marTop w:val="0"/>
                                                                                                                  <w:marBottom w:val="0"/>
                                                                                                                  <w:divBdr>
                                                                                                                    <w:top w:val="none" w:sz="0" w:space="0" w:color="auto"/>
                                                                                                                    <w:left w:val="none" w:sz="0" w:space="0" w:color="auto"/>
                                                                                                                    <w:bottom w:val="none" w:sz="0" w:space="0" w:color="auto"/>
                                                                                                                    <w:right w:val="none" w:sz="0" w:space="0" w:color="auto"/>
                                                                                                                  </w:divBdr>
                                                                                                                  <w:divsChild>
                                                                                                                    <w:div w:id="1526094577">
                                                                                                                      <w:marLeft w:val="0"/>
                                                                                                                      <w:marRight w:val="0"/>
                                                                                                                      <w:marTop w:val="0"/>
                                                                                                                      <w:marBottom w:val="0"/>
                                                                                                                      <w:divBdr>
                                                                                                                        <w:top w:val="none" w:sz="0" w:space="0" w:color="auto"/>
                                                                                                                        <w:left w:val="none" w:sz="0" w:space="0" w:color="auto"/>
                                                                                                                        <w:bottom w:val="none" w:sz="0" w:space="0" w:color="auto"/>
                                                                                                                        <w:right w:val="none" w:sz="0" w:space="0" w:color="auto"/>
                                                                                                                      </w:divBdr>
                                                                                                                      <w:divsChild>
                                                                                                                        <w:div w:id="32967453">
                                                                                                                          <w:marLeft w:val="0"/>
                                                                                                                          <w:marRight w:val="0"/>
                                                                                                                          <w:marTop w:val="0"/>
                                                                                                                          <w:marBottom w:val="0"/>
                                                                                                                          <w:divBdr>
                                                                                                                            <w:top w:val="none" w:sz="0" w:space="0" w:color="auto"/>
                                                                                                                            <w:left w:val="none" w:sz="0" w:space="0" w:color="auto"/>
                                                                                                                            <w:bottom w:val="none" w:sz="0" w:space="0" w:color="auto"/>
                                                                                                                            <w:right w:val="none" w:sz="0" w:space="0" w:color="auto"/>
                                                                                                                          </w:divBdr>
                                                                                                                          <w:divsChild>
                                                                                                                            <w:div w:id="1101343200">
                                                                                                                              <w:marLeft w:val="0"/>
                                                                                                                              <w:marRight w:val="0"/>
                                                                                                                              <w:marTop w:val="0"/>
                                                                                                                              <w:marBottom w:val="0"/>
                                                                                                                              <w:divBdr>
                                                                                                                                <w:top w:val="none" w:sz="0" w:space="0" w:color="auto"/>
                                                                                                                                <w:left w:val="none" w:sz="0" w:space="0" w:color="auto"/>
                                                                                                                                <w:bottom w:val="none" w:sz="0" w:space="0" w:color="auto"/>
                                                                                                                                <w:right w:val="none" w:sz="0" w:space="0" w:color="auto"/>
                                                                                                                              </w:divBdr>
                                                                                                                              <w:divsChild>
                                                                                                                                <w:div w:id="1912041927">
                                                                                                                                  <w:marLeft w:val="0"/>
                                                                                                                                  <w:marRight w:val="0"/>
                                                                                                                                  <w:marTop w:val="0"/>
                                                                                                                                  <w:marBottom w:val="0"/>
                                                                                                                                  <w:divBdr>
                                                                                                                                    <w:top w:val="none" w:sz="0" w:space="0" w:color="auto"/>
                                                                                                                                    <w:left w:val="none" w:sz="0" w:space="0" w:color="auto"/>
                                                                                                                                    <w:bottom w:val="none" w:sz="0" w:space="0" w:color="auto"/>
                                                                                                                                    <w:right w:val="none" w:sz="0" w:space="0" w:color="auto"/>
                                                                                                                                  </w:divBdr>
                                                                                                                                  <w:divsChild>
                                                                                                                                    <w:div w:id="1028213915">
                                                                                                                                      <w:marLeft w:val="0"/>
                                                                                                                                      <w:marRight w:val="0"/>
                                                                                                                                      <w:marTop w:val="0"/>
                                                                                                                                      <w:marBottom w:val="0"/>
                                                                                                                                      <w:divBdr>
                                                                                                                                        <w:top w:val="none" w:sz="0" w:space="0" w:color="auto"/>
                                                                                                                                        <w:left w:val="none" w:sz="0" w:space="0" w:color="auto"/>
                                                                                                                                        <w:bottom w:val="none" w:sz="0" w:space="0" w:color="auto"/>
                                                                                                                                        <w:right w:val="none" w:sz="0" w:space="0" w:color="auto"/>
                                                                                                                                      </w:divBdr>
                                                                                                                                      <w:divsChild>
                                                                                                                                        <w:div w:id="280234826">
                                                                                                                                          <w:marLeft w:val="0"/>
                                                                                                                                          <w:marRight w:val="0"/>
                                                                                                                                          <w:marTop w:val="0"/>
                                                                                                                                          <w:marBottom w:val="0"/>
                                                                                                                                          <w:divBdr>
                                                                                                                                            <w:top w:val="none" w:sz="0" w:space="0" w:color="auto"/>
                                                                                                                                            <w:left w:val="none" w:sz="0" w:space="0" w:color="auto"/>
                                                                                                                                            <w:bottom w:val="none" w:sz="0" w:space="0" w:color="auto"/>
                                                                                                                                            <w:right w:val="none" w:sz="0" w:space="0" w:color="auto"/>
                                                                                                                                          </w:divBdr>
                                                                                                                                          <w:divsChild>
                                                                                                                                            <w:div w:id="692539133">
                                                                                                                                              <w:marLeft w:val="0"/>
                                                                                                                                              <w:marRight w:val="0"/>
                                                                                                                                              <w:marTop w:val="0"/>
                                                                                                                                              <w:marBottom w:val="0"/>
                                                                                                                                              <w:divBdr>
                                                                                                                                                <w:top w:val="none" w:sz="0" w:space="0" w:color="auto"/>
                                                                                                                                                <w:left w:val="none" w:sz="0" w:space="0" w:color="auto"/>
                                                                                                                                                <w:bottom w:val="none" w:sz="0" w:space="0" w:color="auto"/>
                                                                                                                                                <w:right w:val="none" w:sz="0" w:space="0" w:color="auto"/>
                                                                                                                                              </w:divBdr>
                                                                                                                                              <w:divsChild>
                                                                                                                                                <w:div w:id="1912504095">
                                                                                                                                                  <w:marLeft w:val="0"/>
                                                                                                                                                  <w:marRight w:val="0"/>
                                                                                                                                                  <w:marTop w:val="0"/>
                                                                                                                                                  <w:marBottom w:val="0"/>
                                                                                                                                                  <w:divBdr>
                                                                                                                                                    <w:top w:val="none" w:sz="0" w:space="0" w:color="auto"/>
                                                                                                                                                    <w:left w:val="none" w:sz="0" w:space="0" w:color="auto"/>
                                                                                                                                                    <w:bottom w:val="none" w:sz="0" w:space="0" w:color="auto"/>
                                                                                                                                                    <w:right w:val="none" w:sz="0" w:space="0" w:color="auto"/>
                                                                                                                                                  </w:divBdr>
                                                                                                                                                  <w:divsChild>
                                                                                                                                                    <w:div w:id="1941445910">
                                                                                                                                                      <w:marLeft w:val="0"/>
                                                                                                                                                      <w:marRight w:val="0"/>
                                                                                                                                                      <w:marTop w:val="0"/>
                                                                                                                                                      <w:marBottom w:val="0"/>
                                                                                                                                                      <w:divBdr>
                                                                                                                                                        <w:top w:val="none" w:sz="0" w:space="0" w:color="auto"/>
                                                                                                                                                        <w:left w:val="none" w:sz="0" w:space="0" w:color="auto"/>
                                                                                                                                                        <w:bottom w:val="none" w:sz="0" w:space="0" w:color="auto"/>
                                                                                                                                                        <w:right w:val="none" w:sz="0" w:space="0" w:color="auto"/>
                                                                                                                                                      </w:divBdr>
                                                                                                                                                      <w:divsChild>
                                                                                                                                                        <w:div w:id="384570990">
                                                                                                                                                          <w:marLeft w:val="0"/>
                                                                                                                                                          <w:marRight w:val="0"/>
                                                                                                                                                          <w:marTop w:val="0"/>
                                                                                                                                                          <w:marBottom w:val="0"/>
                                                                                                                                                          <w:divBdr>
                                                                                                                                                            <w:top w:val="none" w:sz="0" w:space="0" w:color="auto"/>
                                                                                                                                                            <w:left w:val="none" w:sz="0" w:space="0" w:color="auto"/>
                                                                                                                                                            <w:bottom w:val="none" w:sz="0" w:space="0" w:color="auto"/>
                                                                                                                                                            <w:right w:val="none" w:sz="0" w:space="0" w:color="auto"/>
                                                                                                                                                          </w:divBdr>
                                                                                                                                                          <w:divsChild>
                                                                                                                                                            <w:div w:id="1896770621">
                                                                                                                                                              <w:marLeft w:val="0"/>
                                                                                                                                                              <w:marRight w:val="0"/>
                                                                                                                                                              <w:marTop w:val="0"/>
                                                                                                                                                              <w:marBottom w:val="0"/>
                                                                                                                                                              <w:divBdr>
                                                                                                                                                                <w:top w:val="none" w:sz="0" w:space="0" w:color="auto"/>
                                                                                                                                                                <w:left w:val="none" w:sz="0" w:space="0" w:color="auto"/>
                                                                                                                                                                <w:bottom w:val="none" w:sz="0" w:space="0" w:color="auto"/>
                                                                                                                                                                <w:right w:val="none" w:sz="0" w:space="0" w:color="auto"/>
                                                                                                                                                              </w:divBdr>
                                                                                                                                                              <w:divsChild>
                                                                                                                                                                <w:div w:id="494805371">
                                                                                                                                                                  <w:marLeft w:val="0"/>
                                                                                                                                                                  <w:marRight w:val="0"/>
                                                                                                                                                                  <w:marTop w:val="0"/>
                                                                                                                                                                  <w:marBottom w:val="0"/>
                                                                                                                                                                  <w:divBdr>
                                                                                                                                                                    <w:top w:val="none" w:sz="0" w:space="0" w:color="auto"/>
                                                                                                                                                                    <w:left w:val="none" w:sz="0" w:space="0" w:color="auto"/>
                                                                                                                                                                    <w:bottom w:val="none" w:sz="0" w:space="0" w:color="auto"/>
                                                                                                                                                                    <w:right w:val="none" w:sz="0" w:space="0" w:color="auto"/>
                                                                                                                                                                  </w:divBdr>
                                                                                                                                                                  <w:divsChild>
                                                                                                                                                                    <w:div w:id="126165016">
                                                                                                                                                                      <w:marLeft w:val="0"/>
                                                                                                                                                                      <w:marRight w:val="0"/>
                                                                                                                                                                      <w:marTop w:val="0"/>
                                                                                                                                                                      <w:marBottom w:val="0"/>
                                                                                                                                                                      <w:divBdr>
                                                                                                                                                                        <w:top w:val="none" w:sz="0" w:space="0" w:color="auto"/>
                                                                                                                                                                        <w:left w:val="none" w:sz="0" w:space="0" w:color="auto"/>
                                                                                                                                                                        <w:bottom w:val="none" w:sz="0" w:space="0" w:color="auto"/>
                                                                                                                                                                        <w:right w:val="none" w:sz="0" w:space="0" w:color="auto"/>
                                                                                                                                                                      </w:divBdr>
                                                                                                                                                                      <w:divsChild>
                                                                                                                                                                        <w:div w:id="1762606659">
                                                                                                                                                                          <w:marLeft w:val="0"/>
                                                                                                                                                                          <w:marRight w:val="0"/>
                                                                                                                                                                          <w:marTop w:val="0"/>
                                                                                                                                                                          <w:marBottom w:val="0"/>
                                                                                                                                                                          <w:divBdr>
                                                                                                                                                                            <w:top w:val="none" w:sz="0" w:space="0" w:color="auto"/>
                                                                                                                                                                            <w:left w:val="none" w:sz="0" w:space="0" w:color="auto"/>
                                                                                                                                                                            <w:bottom w:val="none" w:sz="0" w:space="0" w:color="auto"/>
                                                                                                                                                                            <w:right w:val="none" w:sz="0" w:space="0" w:color="auto"/>
                                                                                                                                                                          </w:divBdr>
                                                                                                                                                                          <w:divsChild>
                                                                                                                                                                            <w:div w:id="82187540">
                                                                                                                                                                              <w:marLeft w:val="0"/>
                                                                                                                                                                              <w:marRight w:val="0"/>
                                                                                                                                                                              <w:marTop w:val="0"/>
                                                                                                                                                                              <w:marBottom w:val="0"/>
                                                                                                                                                                              <w:divBdr>
                                                                                                                                                                                <w:top w:val="none" w:sz="0" w:space="0" w:color="auto"/>
                                                                                                                                                                                <w:left w:val="none" w:sz="0" w:space="0" w:color="auto"/>
                                                                                                                                                                                <w:bottom w:val="none" w:sz="0" w:space="0" w:color="auto"/>
                                                                                                                                                                                <w:right w:val="none" w:sz="0" w:space="0" w:color="auto"/>
                                                                                                                                                                              </w:divBdr>
                                                                                                                                                                              <w:divsChild>
                                                                                                                                                                                <w:div w:id="1697078173">
                                                                                                                                                                                  <w:marLeft w:val="0"/>
                                                                                                                                                                                  <w:marRight w:val="0"/>
                                                                                                                                                                                  <w:marTop w:val="0"/>
                                                                                                                                                                                  <w:marBottom w:val="0"/>
                                                                                                                                                                                  <w:divBdr>
                                                                                                                                                                                    <w:top w:val="none" w:sz="0" w:space="0" w:color="auto"/>
                                                                                                                                                                                    <w:left w:val="none" w:sz="0" w:space="0" w:color="auto"/>
                                                                                                                                                                                    <w:bottom w:val="none" w:sz="0" w:space="0" w:color="auto"/>
                                                                                                                                                                                    <w:right w:val="none" w:sz="0" w:space="0" w:color="auto"/>
                                                                                                                                                                                  </w:divBdr>
                                                                                                                                                                                  <w:divsChild>
                                                                                                                                                                                    <w:div w:id="797645627">
                                                                                                                                                                                      <w:marLeft w:val="0"/>
                                                                                                                                                                                      <w:marRight w:val="0"/>
                                                                                                                                                                                      <w:marTop w:val="0"/>
                                                                                                                                                                                      <w:marBottom w:val="0"/>
                                                                                                                                                                                      <w:divBdr>
                                                                                                                                                                                        <w:top w:val="none" w:sz="0" w:space="0" w:color="auto"/>
                                                                                                                                                                                        <w:left w:val="none" w:sz="0" w:space="0" w:color="auto"/>
                                                                                                                                                                                        <w:bottom w:val="none" w:sz="0" w:space="0" w:color="auto"/>
                                                                                                                                                                                        <w:right w:val="none" w:sz="0" w:space="0" w:color="auto"/>
                                                                                                                                                                                      </w:divBdr>
                                                                                                                                                                                      <w:divsChild>
                                                                                                                                                                                        <w:div w:id="44378535">
                                                                                                                                                                                          <w:marLeft w:val="0"/>
                                                                                                                                                                                          <w:marRight w:val="0"/>
                                                                                                                                                                                          <w:marTop w:val="0"/>
                                                                                                                                                                                          <w:marBottom w:val="0"/>
                                                                                                                                                                                          <w:divBdr>
                                                                                                                                                                                            <w:top w:val="none" w:sz="0" w:space="0" w:color="auto"/>
                                                                                                                                                                                            <w:left w:val="none" w:sz="0" w:space="0" w:color="auto"/>
                                                                                                                                                                                            <w:bottom w:val="none" w:sz="0" w:space="0" w:color="auto"/>
                                                                                                                                                                                            <w:right w:val="none" w:sz="0" w:space="0" w:color="auto"/>
                                                                                                                                                                                          </w:divBdr>
                                                                                                                                                                                          <w:divsChild>
                                                                                                                                                                                            <w:div w:id="249579368">
                                                                                                                                                                                              <w:marLeft w:val="0"/>
                                                                                                                                                                                              <w:marRight w:val="0"/>
                                                                                                                                                                                              <w:marTop w:val="0"/>
                                                                                                                                                                                              <w:marBottom w:val="0"/>
                                                                                                                                                                                              <w:divBdr>
                                                                                                                                                                                                <w:top w:val="none" w:sz="0" w:space="0" w:color="auto"/>
                                                                                                                                                                                                <w:left w:val="none" w:sz="0" w:space="0" w:color="auto"/>
                                                                                                                                                                                                <w:bottom w:val="none" w:sz="0" w:space="0" w:color="auto"/>
                                                                                                                                                                                                <w:right w:val="none" w:sz="0" w:space="0" w:color="auto"/>
                                                                                                                                                                                              </w:divBdr>
                                                                                                                                                                                              <w:divsChild>
                                                                                                                                                                                                <w:div w:id="913198599">
                                                                                                                                                                                                  <w:marLeft w:val="0"/>
                                                                                                                                                                                                  <w:marRight w:val="0"/>
                                                                                                                                                                                                  <w:marTop w:val="0"/>
                                                                                                                                                                                                  <w:marBottom w:val="0"/>
                                                                                                                                                                                                  <w:divBdr>
                                                                                                                                                                                                    <w:top w:val="none" w:sz="0" w:space="0" w:color="auto"/>
                                                                                                                                                                                                    <w:left w:val="none" w:sz="0" w:space="0" w:color="auto"/>
                                                                                                                                                                                                    <w:bottom w:val="none" w:sz="0" w:space="0" w:color="auto"/>
                                                                                                                                                                                                    <w:right w:val="none" w:sz="0" w:space="0" w:color="auto"/>
                                                                                                                                                                                                  </w:divBdr>
                                                                                                                                                                                                  <w:divsChild>
                                                                                                                                                                                                    <w:div w:id="1984577003">
                                                                                                                                                                                                      <w:marLeft w:val="0"/>
                                                                                                                                                                                                      <w:marRight w:val="0"/>
                                                                                                                                                                                                      <w:marTop w:val="0"/>
                                                                                                                                                                                                      <w:marBottom w:val="0"/>
                                                                                                                                                                                                      <w:divBdr>
                                                                                                                                                                                                        <w:top w:val="none" w:sz="0" w:space="0" w:color="auto"/>
                                                                                                                                                                                                        <w:left w:val="none" w:sz="0" w:space="0" w:color="auto"/>
                                                                                                                                                                                                        <w:bottom w:val="none" w:sz="0" w:space="0" w:color="auto"/>
                                                                                                                                                                                                        <w:right w:val="none" w:sz="0" w:space="0" w:color="auto"/>
                                                                                                                                                                                                      </w:divBdr>
                                                                                                                                                                                                      <w:divsChild>
                                                                                                                                                                                                        <w:div w:id="1991052085">
                                                                                                                                                                                                          <w:marLeft w:val="0"/>
                                                                                                                                                                                                          <w:marRight w:val="0"/>
                                                                                                                                                                                                          <w:marTop w:val="0"/>
                                                                                                                                                                                                          <w:marBottom w:val="0"/>
                                                                                                                                                                                                          <w:divBdr>
                                                                                                                                                                                                            <w:top w:val="none" w:sz="0" w:space="0" w:color="auto"/>
                                                                                                                                                                                                            <w:left w:val="none" w:sz="0" w:space="0" w:color="auto"/>
                                                                                                                                                                                                            <w:bottom w:val="none" w:sz="0" w:space="0" w:color="auto"/>
                                                                                                                                                                                                            <w:right w:val="none" w:sz="0" w:space="0" w:color="auto"/>
                                                                                                                                                                                                          </w:divBdr>
                                                                                                                                                                                                          <w:divsChild>
                                                                                                                                                                                                            <w:div w:id="1859269702">
                                                                                                                                                                                                              <w:marLeft w:val="0"/>
                                                                                                                                                                                                              <w:marRight w:val="0"/>
                                                                                                                                                                                                              <w:marTop w:val="0"/>
                                                                                                                                                                                                              <w:marBottom w:val="0"/>
                                                                                                                                                                                                              <w:divBdr>
                                                                                                                                                                                                                <w:top w:val="none" w:sz="0" w:space="0" w:color="auto"/>
                                                                                                                                                                                                                <w:left w:val="none" w:sz="0" w:space="0" w:color="auto"/>
                                                                                                                                                                                                                <w:bottom w:val="none" w:sz="0" w:space="0" w:color="auto"/>
                                                                                                                                                                                                                <w:right w:val="none" w:sz="0" w:space="0" w:color="auto"/>
                                                                                                                                                                                                              </w:divBdr>
                                                                                                                                                                                                              <w:divsChild>
                                                                                                                                                                                                                <w:div w:id="544175087">
                                                                                                                                                                                                                  <w:marLeft w:val="0"/>
                                                                                                                                                                                                                  <w:marRight w:val="0"/>
                                                                                                                                                                                                                  <w:marTop w:val="0"/>
                                                                                                                                                                                                                  <w:marBottom w:val="0"/>
                                                                                                                                                                                                                  <w:divBdr>
                                                                                                                                                                                                                    <w:top w:val="none" w:sz="0" w:space="0" w:color="auto"/>
                                                                                                                                                                                                                    <w:left w:val="none" w:sz="0" w:space="0" w:color="auto"/>
                                                                                                                                                                                                                    <w:bottom w:val="none" w:sz="0" w:space="0" w:color="auto"/>
                                                                                                                                                                                                                    <w:right w:val="none" w:sz="0" w:space="0" w:color="auto"/>
                                                                                                                                                                                                                  </w:divBdr>
                                                                                                                                                                                                                  <w:divsChild>
                                                                                                                                                                                                                    <w:div w:id="313608309">
                                                                                                                                                                                                                      <w:marLeft w:val="0"/>
                                                                                                                                                                                                                      <w:marRight w:val="0"/>
                                                                                                                                                                                                                      <w:marTop w:val="0"/>
                                                                                                                                                                                                                      <w:marBottom w:val="0"/>
                                                                                                                                                                                                                      <w:divBdr>
                                                                                                                                                                                                                        <w:top w:val="none" w:sz="0" w:space="0" w:color="auto"/>
                                                                                                                                                                                                                        <w:left w:val="none" w:sz="0" w:space="0" w:color="auto"/>
                                                                                                                                                                                                                        <w:bottom w:val="none" w:sz="0" w:space="0" w:color="auto"/>
                                                                                                                                                                                                                        <w:right w:val="none" w:sz="0" w:space="0" w:color="auto"/>
                                                                                                                                                                                                                      </w:divBdr>
                                                                                                                                                                                                                      <w:divsChild>
                                                                                                                                                                                                                        <w:div w:id="596789587">
                                                                                                                                                                                                                          <w:marLeft w:val="0"/>
                                                                                                                                                                                                                          <w:marRight w:val="0"/>
                                                                                                                                                                                                                          <w:marTop w:val="0"/>
                                                                                                                                                                                                                          <w:marBottom w:val="0"/>
                                                                                                                                                                                                                          <w:divBdr>
                                                                                                                                                                                                                            <w:top w:val="none" w:sz="0" w:space="0" w:color="auto"/>
                                                                                                                                                                                                                            <w:left w:val="none" w:sz="0" w:space="0" w:color="auto"/>
                                                                                                                                                                                                                            <w:bottom w:val="none" w:sz="0" w:space="0" w:color="auto"/>
                                                                                                                                                                                                                            <w:right w:val="none" w:sz="0" w:space="0" w:color="auto"/>
                                                                                                                                                                                                                          </w:divBdr>
                                                                                                                                                                                                                          <w:divsChild>
                                                                                                                                                                                                                            <w:div w:id="1347442136">
                                                                                                                                                                                                                              <w:marLeft w:val="0"/>
                                                                                                                                                                                                                              <w:marRight w:val="0"/>
                                                                                                                                                                                                                              <w:marTop w:val="0"/>
                                                                                                                                                                                                                              <w:marBottom w:val="0"/>
                                                                                                                                                                                                                              <w:divBdr>
                                                                                                                                                                                                                                <w:top w:val="none" w:sz="0" w:space="0" w:color="auto"/>
                                                                                                                                                                                                                                <w:left w:val="none" w:sz="0" w:space="0" w:color="auto"/>
                                                                                                                                                                                                                                <w:bottom w:val="none" w:sz="0" w:space="0" w:color="auto"/>
                                                                                                                                                                                                                                <w:right w:val="none" w:sz="0" w:space="0" w:color="auto"/>
                                                                                                                                                                                                                              </w:divBdr>
                                                                                                                                                                                                                              <w:divsChild>
                                                                                                                                                                                                                                <w:div w:id="2000306058">
                                                                                                                                                                                                                                  <w:marLeft w:val="0"/>
                                                                                                                                                                                                                                  <w:marRight w:val="0"/>
                                                                                                                                                                                                                                  <w:marTop w:val="0"/>
                                                                                                                                                                                                                                  <w:marBottom w:val="0"/>
                                                                                                                                                                                                                                  <w:divBdr>
                                                                                                                                                                                                                                    <w:top w:val="none" w:sz="0" w:space="0" w:color="auto"/>
                                                                                                                                                                                                                                    <w:left w:val="none" w:sz="0" w:space="0" w:color="auto"/>
                                                                                                                                                                                                                                    <w:bottom w:val="none" w:sz="0" w:space="0" w:color="auto"/>
                                                                                                                                                                                                                                    <w:right w:val="none" w:sz="0" w:space="0" w:color="auto"/>
                                                                                                                                                                                                                                  </w:divBdr>
                                                                                                                                                                                                                                  <w:divsChild>
                                                                                                                                                                                                                                    <w:div w:id="863710355">
                                                                                                                                                                                                                                      <w:marLeft w:val="0"/>
                                                                                                                                                                                                                                      <w:marRight w:val="0"/>
                                                                                                                                                                                                                                      <w:marTop w:val="0"/>
                                                                                                                                                                                                                                      <w:marBottom w:val="0"/>
                                                                                                                                                                                                                                      <w:divBdr>
                                                                                                                                                                                                                                        <w:top w:val="none" w:sz="0" w:space="0" w:color="auto"/>
                                                                                                                                                                                                                                        <w:left w:val="none" w:sz="0" w:space="0" w:color="auto"/>
                                                                                                                                                                                                                                        <w:bottom w:val="none" w:sz="0" w:space="0" w:color="auto"/>
                                                                                                                                                                                                                                        <w:right w:val="none" w:sz="0" w:space="0" w:color="auto"/>
                                                                                                                                                                                                                                      </w:divBdr>
                                                                                                                                                                                                                                      <w:divsChild>
                                                                                                                                                                                                                                        <w:div w:id="2093357333">
                                                                                                                                                                                                                                          <w:marLeft w:val="0"/>
                                                                                                                                                                                                                                          <w:marRight w:val="0"/>
                                                                                                                                                                                                                                          <w:marTop w:val="0"/>
                                                                                                                                                                                                                                          <w:marBottom w:val="0"/>
                                                                                                                                                                                                                                          <w:divBdr>
                                                                                                                                                                                                                                            <w:top w:val="none" w:sz="0" w:space="0" w:color="auto"/>
                                                                                                                                                                                                                                            <w:left w:val="none" w:sz="0" w:space="0" w:color="auto"/>
                                                                                                                                                                                                                                            <w:bottom w:val="none" w:sz="0" w:space="0" w:color="auto"/>
                                                                                                                                                                                                                                            <w:right w:val="none" w:sz="0" w:space="0" w:color="auto"/>
                                                                                                                                                                                                                                          </w:divBdr>
                                                                                                                                                                                                                                          <w:divsChild>
                                                                                                                                                                                                                                            <w:div w:id="497506009">
                                                                                                                                                                                                                                              <w:marLeft w:val="0"/>
                                                                                                                                                                                                                                              <w:marRight w:val="0"/>
                                                                                                                                                                                                                                              <w:marTop w:val="0"/>
                                                                                                                                                                                                                                              <w:marBottom w:val="0"/>
                                                                                                                                                                                                                                              <w:divBdr>
                                                                                                                                                                                                                                                <w:top w:val="none" w:sz="0" w:space="0" w:color="auto"/>
                                                                                                                                                                                                                                                <w:left w:val="none" w:sz="0" w:space="0" w:color="auto"/>
                                                                                                                                                                                                                                                <w:bottom w:val="none" w:sz="0" w:space="0" w:color="auto"/>
                                                                                                                                                                                                                                                <w:right w:val="none" w:sz="0" w:space="0" w:color="auto"/>
                                                                                                                                                                                                                                              </w:divBdr>
                                                                                                                                                                                                                                              <w:divsChild>
                                                                                                                                                                                                                                                <w:div w:id="1600330878">
                                                                                                                                                                                                                                                  <w:marLeft w:val="0"/>
                                                                                                                                                                                                                                                  <w:marRight w:val="0"/>
                                                                                                                                                                                                                                                  <w:marTop w:val="0"/>
                                                                                                                                                                                                                                                  <w:marBottom w:val="0"/>
                                                                                                                                                                                                                                                  <w:divBdr>
                                                                                                                                                                                                                                                    <w:top w:val="none" w:sz="0" w:space="0" w:color="auto"/>
                                                                                                                                                                                                                                                    <w:left w:val="none" w:sz="0" w:space="0" w:color="auto"/>
                                                                                                                                                                                                                                                    <w:bottom w:val="none" w:sz="0" w:space="0" w:color="auto"/>
                                                                                                                                                                                                                                                    <w:right w:val="none" w:sz="0" w:space="0" w:color="auto"/>
                                                                                                                                                                                                                                                  </w:divBdr>
                                                                                                                                                                                                                                                  <w:divsChild>
                                                                                                                                                                                                                                                    <w:div w:id="373964351">
                                                                                                                                                                                                                                                      <w:marLeft w:val="0"/>
                                                                                                                                                                                                                                                      <w:marRight w:val="0"/>
                                                                                                                                                                                                                                                      <w:marTop w:val="0"/>
                                                                                                                                                                                                                                                      <w:marBottom w:val="0"/>
                                                                                                                                                                                                                                                      <w:divBdr>
                                                                                                                                                                                                                                                        <w:top w:val="none" w:sz="0" w:space="0" w:color="auto"/>
                                                                                                                                                                                                                                                        <w:left w:val="none" w:sz="0" w:space="0" w:color="auto"/>
                                                                                                                                                                                                                                                        <w:bottom w:val="none" w:sz="0" w:space="0" w:color="auto"/>
                                                                                                                                                                                                                                                        <w:right w:val="none" w:sz="0" w:space="0" w:color="auto"/>
                                                                                                                                                                                                                                                      </w:divBdr>
                                                                                                                                                                                                                                                      <w:divsChild>
                                                                                                                                                                                                                                                        <w:div w:id="933709709">
                                                                                                                                                                                                                                                          <w:marLeft w:val="0"/>
                                                                                                                                                                                                                                                          <w:marRight w:val="0"/>
                                                                                                                                                                                                                                                          <w:marTop w:val="0"/>
                                                                                                                                                                                                                                                          <w:marBottom w:val="0"/>
                                                                                                                                                                                                                                                          <w:divBdr>
                                                                                                                                                                                                                                                            <w:top w:val="none" w:sz="0" w:space="0" w:color="auto"/>
                                                                                                                                                                                                                                                            <w:left w:val="none" w:sz="0" w:space="0" w:color="auto"/>
                                                                                                                                                                                                                                                            <w:bottom w:val="none" w:sz="0" w:space="0" w:color="auto"/>
                                                                                                                                                                                                                                                            <w:right w:val="none" w:sz="0" w:space="0" w:color="auto"/>
                                                                                                                                                                                                                                                          </w:divBdr>
                                                                                                                                                                                                                                                          <w:divsChild>
                                                                                                                                                                                                                                                            <w:div w:id="263809242">
                                                                                                                                                                                                                                                              <w:marLeft w:val="0"/>
                                                                                                                                                                                                                                                              <w:marRight w:val="0"/>
                                                                                                                                                                                                                                                              <w:marTop w:val="0"/>
                                                                                                                                                                                                                                                              <w:marBottom w:val="0"/>
                                                                                                                                                                                                                                                              <w:divBdr>
                                                                                                                                                                                                                                                                <w:top w:val="none" w:sz="0" w:space="0" w:color="auto"/>
                                                                                                                                                                                                                                                                <w:left w:val="none" w:sz="0" w:space="0" w:color="auto"/>
                                                                                                                                                                                                                                                                <w:bottom w:val="none" w:sz="0" w:space="0" w:color="auto"/>
                                                                                                                                                                                                                                                                <w:right w:val="none" w:sz="0" w:space="0" w:color="auto"/>
                                                                                                                                                                                                                                                              </w:divBdr>
                                                                                                                                                                                                                                                              <w:divsChild>
                                                                                                                                                                                                                                                                <w:div w:id="197397148">
                                                                                                                                                                                                                                                                  <w:marLeft w:val="0"/>
                                                                                                                                                                                                                                                                  <w:marRight w:val="0"/>
                                                                                                                                                                                                                                                                  <w:marTop w:val="0"/>
                                                                                                                                                                                                                                                                  <w:marBottom w:val="0"/>
                                                                                                                                                                                                                                                                  <w:divBdr>
                                                                                                                                                                                                                                                                    <w:top w:val="none" w:sz="0" w:space="0" w:color="auto"/>
                                                                                                                                                                                                                                                                    <w:left w:val="none" w:sz="0" w:space="0" w:color="auto"/>
                                                                                                                                                                                                                                                                    <w:bottom w:val="none" w:sz="0" w:space="0" w:color="auto"/>
                                                                                                                                                                                                                                                                    <w:right w:val="none" w:sz="0" w:space="0" w:color="auto"/>
                                                                                                                                                                                                                                                                  </w:divBdr>
                                                                                                                                                                                                                                                                  <w:divsChild>
                                                                                                                                                                                                                                                                    <w:div w:id="1958370428">
                                                                                                                                                                                                                                                                      <w:marLeft w:val="0"/>
                                                                                                                                                                                                                                                                      <w:marRight w:val="0"/>
                                                                                                                                                                                                                                                                      <w:marTop w:val="0"/>
                                                                                                                                                                                                                                                                      <w:marBottom w:val="0"/>
                                                                                                                                                                                                                                                                      <w:divBdr>
                                                                                                                                                                                                                                                                        <w:top w:val="none" w:sz="0" w:space="0" w:color="auto"/>
                                                                                                                                                                                                                                                                        <w:left w:val="none" w:sz="0" w:space="0" w:color="auto"/>
                                                                                                                                                                                                                                                                        <w:bottom w:val="none" w:sz="0" w:space="0" w:color="auto"/>
                                                                                                                                                                                                                                                                        <w:right w:val="none" w:sz="0" w:space="0" w:color="auto"/>
                                                                                                                                                                                                                                                                      </w:divBdr>
                                                                                                                                                                                                                                                                      <w:divsChild>
                                                                                                                                                                                                                                                                        <w:div w:id="660623909">
                                                                                                                                                                                                                                                                          <w:marLeft w:val="0"/>
                                                                                                                                                                                                                                                                          <w:marRight w:val="0"/>
                                                                                                                                                                                                                                                                          <w:marTop w:val="0"/>
                                                                                                                                                                                                                                                                          <w:marBottom w:val="0"/>
                                                                                                                                                                                                                                                                          <w:divBdr>
                                                                                                                                                                                                                                                                            <w:top w:val="none" w:sz="0" w:space="0" w:color="auto"/>
                                                                                                                                                                                                                                                                            <w:left w:val="none" w:sz="0" w:space="0" w:color="auto"/>
                                                                                                                                                                                                                                                                            <w:bottom w:val="none" w:sz="0" w:space="0" w:color="auto"/>
                                                                                                                                                                                                                                                                            <w:right w:val="none" w:sz="0" w:space="0" w:color="auto"/>
                                                                                                                                                                                                                                                                          </w:divBdr>
                                                                                                                                                                                                                                                                          <w:divsChild>
                                                                                                                                                                                                                                                                            <w:div w:id="2118062919">
                                                                                                                                                                                                                                                                              <w:marLeft w:val="0"/>
                                                                                                                                                                                                                                                                              <w:marRight w:val="0"/>
                                                                                                                                                                                                                                                                              <w:marTop w:val="0"/>
                                                                                                                                                                                                                                                                              <w:marBottom w:val="0"/>
                                                                                                                                                                                                                                                                              <w:divBdr>
                                                                                                                                                                                                                                                                                <w:top w:val="none" w:sz="0" w:space="0" w:color="auto"/>
                                                                                                                                                                                                                                                                                <w:left w:val="none" w:sz="0" w:space="0" w:color="auto"/>
                                                                                                                                                                                                                                                                                <w:bottom w:val="none" w:sz="0" w:space="0" w:color="auto"/>
                                                                                                                                                                                                                                                                                <w:right w:val="none" w:sz="0" w:space="0" w:color="auto"/>
                                                                                                                                                                                                                                                                              </w:divBdr>
                                                                                                                                                                                                                                                                              <w:divsChild>
                                                                                                                                                                                                                                                                                <w:div w:id="1085342740">
                                                                                                                                                                                                                                                                                  <w:marLeft w:val="0"/>
                                                                                                                                                                                                                                                                                  <w:marRight w:val="0"/>
                                                                                                                                                                                                                                                                                  <w:marTop w:val="0"/>
                                                                                                                                                                                                                                                                                  <w:marBottom w:val="0"/>
                                                                                                                                                                                                                                                                                  <w:divBdr>
                                                                                                                                                                                                                                                                                    <w:top w:val="none" w:sz="0" w:space="0" w:color="auto"/>
                                                                                                                                                                                                                                                                                    <w:left w:val="none" w:sz="0" w:space="0" w:color="auto"/>
                                                                                                                                                                                                                                                                                    <w:bottom w:val="none" w:sz="0" w:space="0" w:color="auto"/>
                                                                                                                                                                                                                                                                                    <w:right w:val="none" w:sz="0" w:space="0" w:color="auto"/>
                                                                                                                                                                                                                                                                                  </w:divBdr>
                                                                                                                                                                                                                                                                                  <w:divsChild>
                                                                                                                                                                                                                                                                                    <w:div w:id="336422706">
                                                                                                                                                                                                                                                                                      <w:marLeft w:val="0"/>
                                                                                                                                                                                                                                                                                      <w:marRight w:val="0"/>
                                                                                                                                                                                                                                                                                      <w:marTop w:val="0"/>
                                                                                                                                                                                                                                                                                      <w:marBottom w:val="0"/>
                                                                                                                                                                                                                                                                                      <w:divBdr>
                                                                                                                                                                                                                                                                                        <w:top w:val="none" w:sz="0" w:space="0" w:color="auto"/>
                                                                                                                                                                                                                                                                                        <w:left w:val="none" w:sz="0" w:space="0" w:color="auto"/>
                                                                                                                                                                                                                                                                                        <w:bottom w:val="none" w:sz="0" w:space="0" w:color="auto"/>
                                                                                                                                                                                                                                                                                        <w:right w:val="none" w:sz="0" w:space="0" w:color="auto"/>
                                                                                                                                                                                                                                                                                      </w:divBdr>
                                                                                                                                                                                                                                                                                      <w:divsChild>
                                                                                                                                                                                                                                                                                        <w:div w:id="873268719">
                                                                                                                                                                                                                                                                                          <w:marLeft w:val="0"/>
                                                                                                                                                                                                                                                                                          <w:marRight w:val="0"/>
                                                                                                                                                                                                                                                                                          <w:marTop w:val="0"/>
                                                                                                                                                                                                                                                                                          <w:marBottom w:val="0"/>
                                                                                                                                                                                                                                                                                          <w:divBdr>
                                                                                                                                                                                                                                                                                            <w:top w:val="none" w:sz="0" w:space="0" w:color="auto"/>
                                                                                                                                                                                                                                                                                            <w:left w:val="none" w:sz="0" w:space="0" w:color="auto"/>
                                                                                                                                                                                                                                                                                            <w:bottom w:val="none" w:sz="0" w:space="0" w:color="auto"/>
                                                                                                                                                                                                                                                                                            <w:right w:val="none" w:sz="0" w:space="0" w:color="auto"/>
                                                                                                                                                                                                                                                                                          </w:divBdr>
                                                                                                                                                                                                                                                                                          <w:divsChild>
                                                                                                                                                                                                                                                                                            <w:div w:id="1788309037">
                                                                                                                                                                                                                                                                                              <w:marLeft w:val="0"/>
                                                                                                                                                                                                                                                                                              <w:marRight w:val="0"/>
                                                                                                                                                                                                                                                                                              <w:marTop w:val="0"/>
                                                                                                                                                                                                                                                                                              <w:marBottom w:val="0"/>
                                                                                                                                                                                                                                                                                              <w:divBdr>
                                                                                                                                                                                                                                                                                                <w:top w:val="none" w:sz="0" w:space="0" w:color="auto"/>
                                                                                                                                                                                                                                                                                                <w:left w:val="none" w:sz="0" w:space="0" w:color="auto"/>
                                                                                                                                                                                                                                                                                                <w:bottom w:val="none" w:sz="0" w:space="0" w:color="auto"/>
                                                                                                                                                                                                                                                                                                <w:right w:val="none" w:sz="0" w:space="0" w:color="auto"/>
                                                                                                                                                                                                                                                                                              </w:divBdr>
                                                                                                                                                                                                                                                                                              <w:divsChild>
                                                                                                                                                                                                                                                                                                <w:div w:id="1552309380">
                                                                                                                                                                                                                                                                                                  <w:marLeft w:val="0"/>
                                                                                                                                                                                                                                                                                                  <w:marRight w:val="0"/>
                                                                                                                                                                                                                                                                                                  <w:marTop w:val="0"/>
                                                                                                                                                                                                                                                                                                  <w:marBottom w:val="0"/>
                                                                                                                                                                                                                                                                                                  <w:divBdr>
                                                                                                                                                                                                                                                                                                    <w:top w:val="none" w:sz="0" w:space="0" w:color="auto"/>
                                                                                                                                                                                                                                                                                                    <w:left w:val="none" w:sz="0" w:space="0" w:color="auto"/>
                                                                                                                                                                                                                                                                                                    <w:bottom w:val="none" w:sz="0" w:space="0" w:color="auto"/>
                                                                                                                                                                                                                                                                                                    <w:right w:val="none" w:sz="0" w:space="0" w:color="auto"/>
                                                                                                                                                                                                                                                                                                  </w:divBdr>
                                                                                                                                                                                                                                                                                                  <w:divsChild>
                                                                                                                                                                                                                                                                                                    <w:div w:id="660237419">
                                                                                                                                                                                                                                                                                                      <w:marLeft w:val="0"/>
                                                                                                                                                                                                                                                                                                      <w:marRight w:val="0"/>
                                                                                                                                                                                                                                                                                                      <w:marTop w:val="0"/>
                                                                                                                                                                                                                                                                                                      <w:marBottom w:val="0"/>
                                                                                                                                                                                                                                                                                                      <w:divBdr>
                                                                                                                                                                                                                                                                                                        <w:top w:val="none" w:sz="0" w:space="0" w:color="auto"/>
                                                                                                                                                                                                                                                                                                        <w:left w:val="none" w:sz="0" w:space="0" w:color="auto"/>
                                                                                                                                                                                                                                                                                                        <w:bottom w:val="none" w:sz="0" w:space="0" w:color="auto"/>
                                                                                                                                                                                                                                                                                                        <w:right w:val="none" w:sz="0" w:space="0" w:color="auto"/>
                                                                                                                                                                                                                                                                                                      </w:divBdr>
                                                                                                                                                                                                                                                                                                      <w:divsChild>
                                                                                                                                                                                                                                                                                                        <w:div w:id="1809467204">
                                                                                                                                                                                                                                                                                                          <w:marLeft w:val="0"/>
                                                                                                                                                                                                                                                                                                          <w:marRight w:val="0"/>
                                                                                                                                                                                                                                                                                                          <w:marTop w:val="0"/>
                                                                                                                                                                                                                                                                                                          <w:marBottom w:val="0"/>
                                                                                                                                                                                                                                                                                                          <w:divBdr>
                                                                                                                                                                                                                                                                                                            <w:top w:val="none" w:sz="0" w:space="0" w:color="auto"/>
                                                                                                                                                                                                                                                                                                            <w:left w:val="none" w:sz="0" w:space="0" w:color="auto"/>
                                                                                                                                                                                                                                                                                                            <w:bottom w:val="none" w:sz="0" w:space="0" w:color="auto"/>
                                                                                                                                                                                                                                                                                                            <w:right w:val="none" w:sz="0" w:space="0" w:color="auto"/>
                                                                                                                                                                                                                                                                                                          </w:divBdr>
                                                                                                                                                                                                                                                                                                          <w:divsChild>
                                                                                                                                                                                                                                                                                                            <w:div w:id="1757944625">
                                                                                                                                                                                                                                                                                                              <w:marLeft w:val="0"/>
                                                                                                                                                                                                                                                                                                              <w:marRight w:val="0"/>
                                                                                                                                                                                                                                                                                                              <w:marTop w:val="0"/>
                                                                                                                                                                                                                                                                                                              <w:marBottom w:val="0"/>
                                                                                                                                                                                                                                                                                                              <w:divBdr>
                                                                                                                                                                                                                                                                                                                <w:top w:val="none" w:sz="0" w:space="0" w:color="auto"/>
                                                                                                                                                                                                                                                                                                                <w:left w:val="none" w:sz="0" w:space="0" w:color="auto"/>
                                                                                                                                                                                                                                                                                                                <w:bottom w:val="none" w:sz="0" w:space="0" w:color="auto"/>
                                                                                                                                                                                                                                                                                                                <w:right w:val="none" w:sz="0" w:space="0" w:color="auto"/>
                                                                                                                                                                                                                                                                                                              </w:divBdr>
                                                                                                                                                                                                                                                                                                              <w:divsChild>
                                                                                                                                                                                                                                                                                                                <w:div w:id="1702127073">
                                                                                                                                                                                                                                                                                                                  <w:marLeft w:val="0"/>
                                                                                                                                                                                                                                                                                                                  <w:marRight w:val="0"/>
                                                                                                                                                                                                                                                                                                                  <w:marTop w:val="0"/>
                                                                                                                                                                                                                                                                                                                  <w:marBottom w:val="0"/>
                                                                                                                                                                                                                                                                                                                  <w:divBdr>
                                                                                                                                                                                                                                                                                                                    <w:top w:val="none" w:sz="0" w:space="0" w:color="auto"/>
                                                                                                                                                                                                                                                                                                                    <w:left w:val="none" w:sz="0" w:space="0" w:color="auto"/>
                                                                                                                                                                                                                                                                                                                    <w:bottom w:val="none" w:sz="0" w:space="0" w:color="auto"/>
                                                                                                                                                                                                                                                                                                                    <w:right w:val="none" w:sz="0" w:space="0" w:color="auto"/>
                                                                                                                                                                                                                                                                                                                  </w:divBdr>
                                                                                                                                                                                                                                                                                                                  <w:divsChild>
                                                                                                                                                                                                                                                                                                                    <w:div w:id="1957370286">
                                                                                                                                                                                                                                                                                                                      <w:marLeft w:val="0"/>
                                                                                                                                                                                                                                                                                                                      <w:marRight w:val="0"/>
                                                                                                                                                                                                                                                                                                                      <w:marTop w:val="0"/>
                                                                                                                                                                                                                                                                                                                      <w:marBottom w:val="0"/>
                                                                                                                                                                                                                                                                                                                      <w:divBdr>
                                                                                                                                                                                                                                                                                                                        <w:top w:val="none" w:sz="0" w:space="0" w:color="auto"/>
                                                                                                                                                                                                                                                                                                                        <w:left w:val="none" w:sz="0" w:space="0" w:color="auto"/>
                                                                                                                                                                                                                                                                                                                        <w:bottom w:val="none" w:sz="0" w:space="0" w:color="auto"/>
                                                                                                                                                                                                                                                                                                                        <w:right w:val="none" w:sz="0" w:space="0" w:color="auto"/>
                                                                                                                                                                                                                                                                                                                      </w:divBdr>
                                                                                                                                                                                                                                                                                                                      <w:divsChild>
                                                                                                                                                                                                                                                                                                                        <w:div w:id="2122256369">
                                                                                                                                                                                                                                                                                                                          <w:marLeft w:val="0"/>
                                                                                                                                                                                                                                                                                                                          <w:marRight w:val="0"/>
                                                                                                                                                                                                                                                                                                                          <w:marTop w:val="0"/>
                                                                                                                                                                                                                                                                                                                          <w:marBottom w:val="0"/>
                                                                                                                                                                                                                                                                                                                          <w:divBdr>
                                                                                                                                                                                                                                                                                                                            <w:top w:val="none" w:sz="0" w:space="0" w:color="auto"/>
                                                                                                                                                                                                                                                                                                                            <w:left w:val="none" w:sz="0" w:space="0" w:color="auto"/>
                                                                                                                                                                                                                                                                                                                            <w:bottom w:val="none" w:sz="0" w:space="0" w:color="auto"/>
                                                                                                                                                                                                                                                                                                                            <w:right w:val="none" w:sz="0" w:space="0" w:color="auto"/>
                                                                                                                                                                                                                                                                                                                          </w:divBdr>
                                                                                                                                                                                                                                                                                                                          <w:divsChild>
                                                                                                                                                                                                                                                                                                                            <w:div w:id="1119102791">
                                                                                                                                                                                                                                                                                                                              <w:marLeft w:val="0"/>
                                                                                                                                                                                                                                                                                                                              <w:marRight w:val="0"/>
                                                                                                                                                                                                                                                                                                                              <w:marTop w:val="0"/>
                                                                                                                                                                                                                                                                                                                              <w:marBottom w:val="0"/>
                                                                                                                                                                                                                                                                                                                              <w:divBdr>
                                                                                                                                                                                                                                                                                                                                <w:top w:val="none" w:sz="0" w:space="0" w:color="auto"/>
                                                                                                                                                                                                                                                                                                                                <w:left w:val="none" w:sz="0" w:space="0" w:color="auto"/>
                                                                                                                                                                                                                                                                                                                                <w:bottom w:val="none" w:sz="0" w:space="0" w:color="auto"/>
                                                                                                                                                                                                                                                                                                                                <w:right w:val="none" w:sz="0" w:space="0" w:color="auto"/>
                                                                                                                                                                                                                                                                                                                              </w:divBdr>
                                                                                                                                                                                                                                                                                                                              <w:divsChild>
                                                                                                                                                                                                                                                                                                                                <w:div w:id="1397163366">
                                                                                                                                                                                                                                                                                                                                  <w:marLeft w:val="0"/>
                                                                                                                                                                                                                                                                                                                                  <w:marRight w:val="0"/>
                                                                                                                                                                                                                                                                                                                                  <w:marTop w:val="0"/>
                                                                                                                                                                                                                                                                                                                                  <w:marBottom w:val="0"/>
                                                                                                                                                                                                                                                                                                                                  <w:divBdr>
                                                                                                                                                                                                                                                                                                                                    <w:top w:val="none" w:sz="0" w:space="0" w:color="auto"/>
                                                                                                                                                                                                                                                                                                                                    <w:left w:val="none" w:sz="0" w:space="0" w:color="auto"/>
                                                                                                                                                                                                                                                                                                                                    <w:bottom w:val="none" w:sz="0" w:space="0" w:color="auto"/>
                                                                                                                                                                                                                                                                                                                                    <w:right w:val="none" w:sz="0" w:space="0" w:color="auto"/>
                                                                                                                                                                                                                                                                                                                                  </w:divBdr>
                                                                                                                                                                                                                                                                                                                                  <w:divsChild>
                                                                                                                                                                                                                                                                                                                                    <w:div w:id="1079325783">
                                                                                                                                                                                                                                                                                                                                      <w:marLeft w:val="0"/>
                                                                                                                                                                                                                                                                                                                                      <w:marRight w:val="0"/>
                                                                                                                                                                                                                                                                                                                                      <w:marTop w:val="0"/>
                                                                                                                                                                                                                                                                                                                                      <w:marBottom w:val="0"/>
                                                                                                                                                                                                                                                                                                                                      <w:divBdr>
                                                                                                                                                                                                                                                                                                                                        <w:top w:val="none" w:sz="0" w:space="0" w:color="auto"/>
                                                                                                                                                                                                                                                                                                                                        <w:left w:val="none" w:sz="0" w:space="0" w:color="auto"/>
                                                                                                                                                                                                                                                                                                                                        <w:bottom w:val="none" w:sz="0" w:space="0" w:color="auto"/>
                                                                                                                                                                                                                                                                                                                                        <w:right w:val="none" w:sz="0" w:space="0" w:color="auto"/>
                                                                                                                                                                                                                                                                                                                                      </w:divBdr>
                                                                                                                                                                                                                                                                                                                                      <w:divsChild>
                                                                                                                                                                                                                                                                                                                                        <w:div w:id="370999810">
                                                                                                                                                                                                                                                                                                                                          <w:marLeft w:val="0"/>
                                                                                                                                                                                                                                                                                                                                          <w:marRight w:val="0"/>
                                                                                                                                                                                                                                                                                                                                          <w:marTop w:val="0"/>
                                                                                                                                                                                                                                                                                                                                          <w:marBottom w:val="0"/>
                                                                                                                                                                                                                                                                                                                                          <w:divBdr>
                                                                                                                                                                                                                                                                                                                                            <w:top w:val="none" w:sz="0" w:space="0" w:color="auto"/>
                                                                                                                                                                                                                                                                                                                                            <w:left w:val="none" w:sz="0" w:space="0" w:color="auto"/>
                                                                                                                                                                                                                                                                                                                                            <w:bottom w:val="none" w:sz="0" w:space="0" w:color="auto"/>
                                                                                                                                                                                                                                                                                                                                            <w:right w:val="none" w:sz="0" w:space="0" w:color="auto"/>
                                                                                                                                                                                                                                                                                                                                          </w:divBdr>
                                                                                                                                                                                                                                                                                                                                          <w:divsChild>
                                                                                                                                                                                                                                                                                                                                            <w:div w:id="202865526">
                                                                                                                                                                                                                                                                                                                                              <w:marLeft w:val="0"/>
                                                                                                                                                                                                                                                                                                                                              <w:marRight w:val="0"/>
                                                                                                                                                                                                                                                                                                                                              <w:marTop w:val="0"/>
                                                                                                                                                                                                                                                                                                                                              <w:marBottom w:val="0"/>
                                                                                                                                                                                                                                                                                                                                              <w:divBdr>
                                                                                                                                                                                                                                                                                                                                                <w:top w:val="none" w:sz="0" w:space="0" w:color="auto"/>
                                                                                                                                                                                                                                                                                                                                                <w:left w:val="none" w:sz="0" w:space="0" w:color="auto"/>
                                                                                                                                                                                                                                                                                                                                                <w:bottom w:val="none" w:sz="0" w:space="0" w:color="auto"/>
                                                                                                                                                                                                                                                                                                                                                <w:right w:val="none" w:sz="0" w:space="0" w:color="auto"/>
                                                                                                                                                                                                                                                                                                                                              </w:divBdr>
                                                                                                                                                                                                                                                                                                                                              <w:divsChild>
                                                                                                                                                                                                                                                                                                                                                <w:div w:id="947614751">
                                                                                                                                                                                                                                                                                                                                                  <w:marLeft w:val="0"/>
                                                                                                                                                                                                                                                                                                                                                  <w:marRight w:val="0"/>
                                                                                                                                                                                                                                                                                                                                                  <w:marTop w:val="0"/>
                                                                                                                                                                                                                                                                                                                                                  <w:marBottom w:val="0"/>
                                                                                                                                                                                                                                                                                                                                                  <w:divBdr>
                                                                                                                                                                                                                                                                                                                                                    <w:top w:val="none" w:sz="0" w:space="0" w:color="auto"/>
                                                                                                                                                                                                                                                                                                                                                    <w:left w:val="none" w:sz="0" w:space="0" w:color="auto"/>
                                                                                                                                                                                                                                                                                                                                                    <w:bottom w:val="none" w:sz="0" w:space="0" w:color="auto"/>
                                                                                                                                                                                                                                                                                                                                                    <w:right w:val="none" w:sz="0" w:space="0" w:color="auto"/>
                                                                                                                                                                                                                                                                                                                                                  </w:divBdr>
                                                                                                                                                                                                                                                                                                                                                  <w:divsChild>
                                                                                                                                                                                                                                                                                                                                                    <w:div w:id="728499700">
                                                                                                                                                                                                                                                                                                                                                      <w:marLeft w:val="0"/>
                                                                                                                                                                                                                                                                                                                                                      <w:marRight w:val="0"/>
                                                                                                                                                                                                                                                                                                                                                      <w:marTop w:val="0"/>
                                                                                                                                                                                                                                                                                                                                                      <w:marBottom w:val="0"/>
                                                                                                                                                                                                                                                                                                                                                      <w:divBdr>
                                                                                                                                                                                                                                                                                                                                                        <w:top w:val="none" w:sz="0" w:space="0" w:color="auto"/>
                                                                                                                                                                                                                                                                                                                                                        <w:left w:val="none" w:sz="0" w:space="0" w:color="auto"/>
                                                                                                                                                                                                                                                                                                                                                        <w:bottom w:val="none" w:sz="0" w:space="0" w:color="auto"/>
                                                                                                                                                                                                                                                                                                                                                        <w:right w:val="none" w:sz="0" w:space="0" w:color="auto"/>
                                                                                                                                                                                                                                                                                                                                                      </w:divBdr>
                                                                                                                                                                                                                                                                                                                                                      <w:divsChild>
                                                                                                                                                                                                                                                                                                                                                        <w:div w:id="705182121">
                                                                                                                                                                                                                                                                                                                                                          <w:marLeft w:val="0"/>
                                                                                                                                                                                                                                                                                                                                                          <w:marRight w:val="0"/>
                                                                                                                                                                                                                                                                                                                                                          <w:marTop w:val="0"/>
                                                                                                                                                                                                                                                                                                                                                          <w:marBottom w:val="0"/>
                                                                                                                                                                                                                                                                                                                                                          <w:divBdr>
                                                                                                                                                                                                                                                                                                                                                            <w:top w:val="none" w:sz="0" w:space="0" w:color="auto"/>
                                                                                                                                                                                                                                                                                                                                                            <w:left w:val="none" w:sz="0" w:space="0" w:color="auto"/>
                                                                                                                                                                                                                                                                                                                                                            <w:bottom w:val="none" w:sz="0" w:space="0" w:color="auto"/>
                                                                                                                                                                                                                                                                                                                                                            <w:right w:val="none" w:sz="0" w:space="0" w:color="auto"/>
                                                                                                                                                                                                                                                                                                                                                          </w:divBdr>
                                                                                                                                                                                                                                                                                                                                                          <w:divsChild>
                                                                                                                                                                                                                                                                                                                                                            <w:div w:id="509372826">
                                                                                                                                                                                                                                                                                                                                                              <w:marLeft w:val="0"/>
                                                                                                                                                                                                                                                                                                                                                              <w:marRight w:val="0"/>
                                                                                                                                                                                                                                                                                                                                                              <w:marTop w:val="0"/>
                                                                                                                                                                                                                                                                                                                                                              <w:marBottom w:val="0"/>
                                                                                                                                                                                                                                                                                                                                                              <w:divBdr>
                                                                                                                                                                                                                                                                                                                                                                <w:top w:val="none" w:sz="0" w:space="0" w:color="auto"/>
                                                                                                                                                                                                                                                                                                                                                                <w:left w:val="none" w:sz="0" w:space="0" w:color="auto"/>
                                                                                                                                                                                                                                                                                                                                                                <w:bottom w:val="none" w:sz="0" w:space="0" w:color="auto"/>
                                                                                                                                                                                                                                                                                                                                                                <w:right w:val="none" w:sz="0" w:space="0" w:color="auto"/>
                                                                                                                                                                                                                                                                                                                                                              </w:divBdr>
                                                                                                                                                                                                                                                                                                                                                              <w:divsChild>
                                                                                                                                                                                                                                                                                                                                                                <w:div w:id="2064867185">
                                                                                                                                                                                                                                                                                                                                                                  <w:marLeft w:val="0"/>
                                                                                                                                                                                                                                                                                                                                                                  <w:marRight w:val="0"/>
                                                                                                                                                                                                                                                                                                                                                                  <w:marTop w:val="0"/>
                                                                                                                                                                                                                                                                                                                                                                  <w:marBottom w:val="0"/>
                                                                                                                                                                                                                                                                                                                                                                  <w:divBdr>
                                                                                                                                                                                                                                                                                                                                                                    <w:top w:val="none" w:sz="0" w:space="0" w:color="auto"/>
                                                                                                                                                                                                                                                                                                                                                                    <w:left w:val="none" w:sz="0" w:space="0" w:color="auto"/>
                                                                                                                                                                                                                                                                                                                                                                    <w:bottom w:val="none" w:sz="0" w:space="0" w:color="auto"/>
                                                                                                                                                                                                                                                                                                                                                                    <w:right w:val="none" w:sz="0" w:space="0" w:color="auto"/>
                                                                                                                                                                                                                                                                                                                                                                  </w:divBdr>
                                                                                                                                                                                                                                                                                                                                                                  <w:divsChild>
                                                                                                                                                                                                                                                                                                                                                                    <w:div w:id="553740834">
                                                                                                                                                                                                                                                                                                                                                                      <w:marLeft w:val="0"/>
                                                                                                                                                                                                                                                                                                                                                                      <w:marRight w:val="0"/>
                                                                                                                                                                                                                                                                                                                                                                      <w:marTop w:val="0"/>
                                                                                                                                                                                                                                                                                                                                                                      <w:marBottom w:val="0"/>
                                                                                                                                                                                                                                                                                                                                                                      <w:divBdr>
                                                                                                                                                                                                                                                                                                                                                                        <w:top w:val="none" w:sz="0" w:space="0" w:color="auto"/>
                                                                                                                                                                                                                                                                                                                                                                        <w:left w:val="none" w:sz="0" w:space="0" w:color="auto"/>
                                                                                                                                                                                                                                                                                                                                                                        <w:bottom w:val="none" w:sz="0" w:space="0" w:color="auto"/>
                                                                                                                                                                                                                                                                                                                                                                        <w:right w:val="none" w:sz="0" w:space="0" w:color="auto"/>
                                                                                                                                                                                                                                                                                                                                                                      </w:divBdr>
                                                                                                                                                                                                                                                                                                                                                                      <w:divsChild>
                                                                                                                                                                                                                                                                                                                                                                        <w:div w:id="426004818">
                                                                                                                                                                                                                                                                                                                                                                          <w:marLeft w:val="0"/>
                                                                                                                                                                                                                                                                                                                                                                          <w:marRight w:val="0"/>
                                                                                                                                                                                                                                                                                                                                                                          <w:marTop w:val="0"/>
                                                                                                                                                                                                                                                                                                                                                                          <w:marBottom w:val="0"/>
                                                                                                                                                                                                                                                                                                                                                                          <w:divBdr>
                                                                                                                                                                                                                                                                                                                                                                            <w:top w:val="none" w:sz="0" w:space="0" w:color="auto"/>
                                                                                                                                                                                                                                                                                                                                                                            <w:left w:val="none" w:sz="0" w:space="0" w:color="auto"/>
                                                                                                                                                                                                                                                                                                                                                                            <w:bottom w:val="none" w:sz="0" w:space="0" w:color="auto"/>
                                                                                                                                                                                                                                                                                                                                                                            <w:right w:val="none" w:sz="0" w:space="0" w:color="auto"/>
                                                                                                                                                                                                                                                                                                                                                                          </w:divBdr>
                                                                                                                                                                                                                                                                                                                                                                          <w:divsChild>
                                                                                                                                                                                                                                                                                                                                                                            <w:div w:id="2125146298">
                                                                                                                                                                                                                                                                                                                                                                              <w:marLeft w:val="0"/>
                                                                                                                                                                                                                                                                                                                                                                              <w:marRight w:val="0"/>
                                                                                                                                                                                                                                                                                                                                                                              <w:marTop w:val="0"/>
                                                                                                                                                                                                                                                                                                                                                                              <w:marBottom w:val="0"/>
                                                                                                                                                                                                                                                                                                                                                                              <w:divBdr>
                                                                                                                                                                                                                                                                                                                                                                                <w:top w:val="none" w:sz="0" w:space="0" w:color="auto"/>
                                                                                                                                                                                                                                                                                                                                                                                <w:left w:val="none" w:sz="0" w:space="0" w:color="auto"/>
                                                                                                                                                                                                                                                                                                                                                                                <w:bottom w:val="none" w:sz="0" w:space="0" w:color="auto"/>
                                                                                                                                                                                                                                                                                                                                                                                <w:right w:val="none" w:sz="0" w:space="0" w:color="auto"/>
                                                                                                                                                                                                                                                                                                                                                                              </w:divBdr>
                                                                                                                                                                                                                                                                                                                                                                              <w:divsChild>
                                                                                                                                                                                                                                                                                                                                                                                <w:div w:id="1644772859">
                                                                                                                                                                                                                                                                                                                                                                                  <w:marLeft w:val="0"/>
                                                                                                                                                                                                                                                                                                                                                                                  <w:marRight w:val="0"/>
                                                                                                                                                                                                                                                                                                                                                                                  <w:marTop w:val="0"/>
                                                                                                                                                                                                                                                                                                                                                                                  <w:marBottom w:val="0"/>
                                                                                                                                                                                                                                                                                                                                                                                  <w:divBdr>
                                                                                                                                                                                                                                                                                                                                                                                    <w:top w:val="none" w:sz="0" w:space="0" w:color="auto"/>
                                                                                                                                                                                                                                                                                                                                                                                    <w:left w:val="none" w:sz="0" w:space="0" w:color="auto"/>
                                                                                                                                                                                                                                                                                                                                                                                    <w:bottom w:val="none" w:sz="0" w:space="0" w:color="auto"/>
                                                                                                                                                                                                                                                                                                                                                                                    <w:right w:val="none" w:sz="0" w:space="0" w:color="auto"/>
                                                                                                                                                                                                                                                                                                                                                                                  </w:divBdr>
                                                                                                                                                                                                                                                                                                                                                                                  <w:divsChild>
                                                                                                                                                                                                                                                                                                                                                                                    <w:div w:id="1246185292">
                                                                                                                                                                                                                                                                                                                                                                                      <w:marLeft w:val="0"/>
                                                                                                                                                                                                                                                                                                                                                                                      <w:marRight w:val="0"/>
                                                                                                                                                                                                                                                                                                                                                                                      <w:marTop w:val="0"/>
                                                                                                                                                                                                                                                                                                                                                                                      <w:marBottom w:val="0"/>
                                                                                                                                                                                                                                                                                                                                                                                      <w:divBdr>
                                                                                                                                                                                                                                                                                                                                                                                        <w:top w:val="none" w:sz="0" w:space="0" w:color="auto"/>
                                                                                                                                                                                                                                                                                                                                                                                        <w:left w:val="none" w:sz="0" w:space="0" w:color="auto"/>
                                                                                                                                                                                                                                                                                                                                                                                        <w:bottom w:val="none" w:sz="0" w:space="0" w:color="auto"/>
                                                                                                                                                                                                                                                                                                                                                                                        <w:right w:val="none" w:sz="0" w:space="0" w:color="auto"/>
                                                                                                                                                                                                                                                                                                                                                                                      </w:divBdr>
                                                                                                                                                                                                                                                                                                                                                                                      <w:divsChild>
                                                                                                                                                                                                                                                                                                                                                                                        <w:div w:id="1618483488">
                                                                                                                                                                                                                                                                                                                                                                                          <w:marLeft w:val="0"/>
                                                                                                                                                                                                                                                                                                                                                                                          <w:marRight w:val="0"/>
                                                                                                                                                                                                                                                                                                                                                                                          <w:marTop w:val="0"/>
                                                                                                                                                                                                                                                                                                                                                                                          <w:marBottom w:val="0"/>
                                                                                                                                                                                                                                                                                                                                                                                          <w:divBdr>
                                                                                                                                                                                                                                                                                                                                                                                            <w:top w:val="none" w:sz="0" w:space="0" w:color="auto"/>
                                                                                                                                                                                                                                                                                                                                                                                            <w:left w:val="none" w:sz="0" w:space="0" w:color="auto"/>
                                                                                                                                                                                                                                                                                                                                                                                            <w:bottom w:val="none" w:sz="0" w:space="0" w:color="auto"/>
                                                                                                                                                                                                                                                                                                                                                                                            <w:right w:val="none" w:sz="0" w:space="0" w:color="auto"/>
                                                                                                                                                                                                                                                                                                                                                                                          </w:divBdr>
                                                                                                                                                                                                                                                                                                                                                                                          <w:divsChild>
                                                                                                                                                                                                                                                                                                                                                                                            <w:div w:id="1976173848">
                                                                                                                                                                                                                                                                                                                                                                                              <w:marLeft w:val="0"/>
                                                                                                                                                                                                                                                                                                                                                                                              <w:marRight w:val="0"/>
                                                                                                                                                                                                                                                                                                                                                                                              <w:marTop w:val="0"/>
                                                                                                                                                                                                                                                                                                                                                                                              <w:marBottom w:val="0"/>
                                                                                                                                                                                                                                                                                                                                                                                              <w:divBdr>
                                                                                                                                                                                                                                                                                                                                                                                                <w:top w:val="none" w:sz="0" w:space="0" w:color="auto"/>
                                                                                                                                                                                                                                                                                                                                                                                                <w:left w:val="none" w:sz="0" w:space="0" w:color="auto"/>
                                                                                                                                                                                                                                                                                                                                                                                                <w:bottom w:val="none" w:sz="0" w:space="0" w:color="auto"/>
                                                                                                                                                                                                                                                                                                                                                                                                <w:right w:val="none" w:sz="0" w:space="0" w:color="auto"/>
                                                                                                                                                                                                                                                                                                                                                                                              </w:divBdr>
                                                                                                                                                                                                                                                                                                                                                                                              <w:divsChild>
                                                                                                                                                                                                                                                                                                                                                                                                <w:div w:id="1625624176">
                                                                                                                                                                                                                                                                                                                                                                                                  <w:marLeft w:val="0"/>
                                                                                                                                                                                                                                                                                                                                                                                                  <w:marRight w:val="0"/>
                                                                                                                                                                                                                                                                                                                                                                                                  <w:marTop w:val="0"/>
                                                                                                                                                                                                                                                                                                                                                                                                  <w:marBottom w:val="0"/>
                                                                                                                                                                                                                                                                                                                                                                                                  <w:divBdr>
                                                                                                                                                                                                                                                                                                                                                                                                    <w:top w:val="none" w:sz="0" w:space="0" w:color="auto"/>
                                                                                                                                                                                                                                                                                                                                                                                                    <w:left w:val="none" w:sz="0" w:space="0" w:color="auto"/>
                                                                                                                                                                                                                                                                                                                                                                                                    <w:bottom w:val="none" w:sz="0" w:space="0" w:color="auto"/>
                                                                                                                                                                                                                                                                                                                                                                                                    <w:right w:val="none" w:sz="0" w:space="0" w:color="auto"/>
                                                                                                                                                                                                                                                                                                                                                                                                  </w:divBdr>
                                                                                                                                                                                                                                                                                                                                                                                                  <w:divsChild>
                                                                                                                                                                                                                                                                                                                                                                                                    <w:div w:id="2070836400">
                                                                                                                                                                                                                                                                                                                                                                                                      <w:marLeft w:val="0"/>
                                                                                                                                                                                                                                                                                                                                                                                                      <w:marRight w:val="0"/>
                                                                                                                                                                                                                                                                                                                                                                                                      <w:marTop w:val="0"/>
                                                                                                                                                                                                                                                                                                                                                                                                      <w:marBottom w:val="0"/>
                                                                                                                                                                                                                                                                                                                                                                                                      <w:divBdr>
                                                                                                                                                                                                                                                                                                                                                                                                        <w:top w:val="none" w:sz="0" w:space="0" w:color="auto"/>
                                                                                                                                                                                                                                                                                                                                                                                                        <w:left w:val="none" w:sz="0" w:space="0" w:color="auto"/>
                                                                                                                                                                                                                                                                                                                                                                                                        <w:bottom w:val="none" w:sz="0" w:space="0" w:color="auto"/>
                                                                                                                                                                                                                                                                                                                                                                                                        <w:right w:val="none" w:sz="0" w:space="0" w:color="auto"/>
                                                                                                                                                                                                                                                                                                                                                                                                      </w:divBdr>
                                                                                                                                                                                                                                                                                                                                                                                                      <w:divsChild>
                                                                                                                                                                                                                                                                                                                                                                                                        <w:div w:id="2051804512">
                                                                                                                                                                                                                                                                                                                                                                                                          <w:marLeft w:val="0"/>
                                                                                                                                                                                                                                                                                                                                                                                                          <w:marRight w:val="0"/>
                                                                                                                                                                                                                                                                                                                                                                                                          <w:marTop w:val="0"/>
                                                                                                                                                                                                                                                                                                                                                                                                          <w:marBottom w:val="0"/>
                                                                                                                                                                                                                                                                                                                                                                                                          <w:divBdr>
                                                                                                                                                                                                                                                                                                                                                                                                            <w:top w:val="none" w:sz="0" w:space="0" w:color="auto"/>
                                                                                                                                                                                                                                                                                                                                                                                                            <w:left w:val="none" w:sz="0" w:space="0" w:color="auto"/>
                                                                                                                                                                                                                                                                                                                                                                                                            <w:bottom w:val="none" w:sz="0" w:space="0" w:color="auto"/>
                                                                                                                                                                                                                                                                                                                                                                                                            <w:right w:val="none" w:sz="0" w:space="0" w:color="auto"/>
                                                                                                                                                                                                                                                                                                                                                                                                          </w:divBdr>
                                                                                                                                                                                                                                                                                                                                                                                                          <w:divsChild>
                                                                                                                                                                                                                                                                                                                                                                                                            <w:div w:id="641151848">
                                                                                                                                                                                                                                                                                                                                                                                                              <w:marLeft w:val="0"/>
                                                                                                                                                                                                                                                                                                                                                                                                              <w:marRight w:val="0"/>
                                                                                                                                                                                                                                                                                                                                                                                                              <w:marTop w:val="0"/>
                                                                                                                                                                                                                                                                                                                                                                                                              <w:marBottom w:val="0"/>
                                                                                                                                                                                                                                                                                                                                                                                                              <w:divBdr>
                                                                                                                                                                                                                                                                                                                                                                                                                <w:top w:val="none" w:sz="0" w:space="0" w:color="auto"/>
                                                                                                                                                                                                                                                                                                                                                                                                                <w:left w:val="none" w:sz="0" w:space="0" w:color="auto"/>
                                                                                                                                                                                                                                                                                                                                                                                                                <w:bottom w:val="none" w:sz="0" w:space="0" w:color="auto"/>
                                                                                                                                                                                                                                                                                                                                                                                                                <w:right w:val="none" w:sz="0" w:space="0" w:color="auto"/>
                                                                                                                                                                                                                                                                                                                                                                                                              </w:divBdr>
                                                                                                                                                                                                                                                                                                                                                                                                              <w:divsChild>
                                                                                                                                                                                                                                                                                                                                                                                                                <w:div w:id="1821843502">
                                                                                                                                                                                                                                                                                                                                                                                                                  <w:marLeft w:val="0"/>
                                                                                                                                                                                                                                                                                                                                                                                                                  <w:marRight w:val="0"/>
                                                                                                                                                                                                                                                                                                                                                                                                                  <w:marTop w:val="0"/>
                                                                                                                                                                                                                                                                                                                                                                                                                  <w:marBottom w:val="0"/>
                                                                                                                                                                                                                                                                                                                                                                                                                  <w:divBdr>
                                                                                                                                                                                                                                                                                                                                                                                                                    <w:top w:val="none" w:sz="0" w:space="0" w:color="auto"/>
                                                                                                                                                                                                                                                                                                                                                                                                                    <w:left w:val="none" w:sz="0" w:space="0" w:color="auto"/>
                                                                                                                                                                                                                                                                                                                                                                                                                    <w:bottom w:val="none" w:sz="0" w:space="0" w:color="auto"/>
                                                                                                                                                                                                                                                                                                                                                                                                                    <w:right w:val="none" w:sz="0" w:space="0" w:color="auto"/>
                                                                                                                                                                                                                                                                                                                                                                                                                  </w:divBdr>
                                                                                                                                                                                                                                                                                                                                                                                                                  <w:divsChild>
                                                                                                                                                                                                                                                                                                                                                                                                                    <w:div w:id="1765688650">
                                                                                                                                                                                                                                                                                                                                                                                                                      <w:marLeft w:val="0"/>
                                                                                                                                                                                                                                                                                                                                                                                                                      <w:marRight w:val="0"/>
                                                                                                                                                                                                                                                                                                                                                                                                                      <w:marTop w:val="0"/>
                                                                                                                                                                                                                                                                                                                                                                                                                      <w:marBottom w:val="0"/>
                                                                                                                                                                                                                                                                                                                                                                                                                      <w:divBdr>
                                                                                                                                                                                                                                                                                                                                                                                                                        <w:top w:val="none" w:sz="0" w:space="0" w:color="auto"/>
                                                                                                                                                                                                                                                                                                                                                                                                                        <w:left w:val="none" w:sz="0" w:space="0" w:color="auto"/>
                                                                                                                                                                                                                                                                                                                                                                                                                        <w:bottom w:val="none" w:sz="0" w:space="0" w:color="auto"/>
                                                                                                                                                                                                                                                                                                                                                                                                                        <w:right w:val="none" w:sz="0" w:space="0" w:color="auto"/>
                                                                                                                                                                                                                                                                                                                                                                                                                      </w:divBdr>
                                                                                                                                                                                                                                                                                                                                                                                                                      <w:divsChild>
                                                                                                                                                                                                                                                                                                                                                                                                                        <w:div w:id="962927890">
                                                                                                                                                                                                                                                                                                                                                                                                                          <w:marLeft w:val="0"/>
                                                                                                                                                                                                                                                                                                                                                                                                                          <w:marRight w:val="0"/>
                                                                                                                                                                                                                                                                                                                                                                                                                          <w:marTop w:val="0"/>
                                                                                                                                                                                                                                                                                                                                                                                                                          <w:marBottom w:val="0"/>
                                                                                                                                                                                                                                                                                                                                                                                                                          <w:divBdr>
                                                                                                                                                                                                                                                                                                                                                                                                                            <w:top w:val="none" w:sz="0" w:space="0" w:color="auto"/>
                                                                                                                                                                                                                                                                                                                                                                                                                            <w:left w:val="none" w:sz="0" w:space="0" w:color="auto"/>
                                                                                                                                                                                                                                                                                                                                                                                                                            <w:bottom w:val="none" w:sz="0" w:space="0" w:color="auto"/>
                                                                                                                                                                                                                                                                                                                                                                                                                            <w:right w:val="none" w:sz="0" w:space="0" w:color="auto"/>
                                                                                                                                                                                                                                                                                                                                                                                                                          </w:divBdr>
                                                                                                                                                                                                                                                                                                                                                                                                                          <w:divsChild>
                                                                                                                                                                                                                                                                                                                                                                                                                            <w:div w:id="1755004944">
                                                                                                                                                                                                                                                                                                                                                                                                                              <w:marLeft w:val="0"/>
                                                                                                                                                                                                                                                                                                                                                                                                                              <w:marRight w:val="0"/>
                                                                                                                                                                                                                                                                                                                                                                                                                              <w:marTop w:val="0"/>
                                                                                                                                                                                                                                                                                                                                                                                                                              <w:marBottom w:val="0"/>
                                                                                                                                                                                                                                                                                                                                                                                                                              <w:divBdr>
                                                                                                                                                                                                                                                                                                                                                                                                                                <w:top w:val="none" w:sz="0" w:space="0" w:color="auto"/>
                                                                                                                                                                                                                                                                                                                                                                                                                                <w:left w:val="none" w:sz="0" w:space="0" w:color="auto"/>
                                                                                                                                                                                                                                                                                                                                                                                                                                <w:bottom w:val="none" w:sz="0" w:space="0" w:color="auto"/>
                                                                                                                                                                                                                                                                                                                                                                                                                                <w:right w:val="none" w:sz="0" w:space="0" w:color="auto"/>
                                                                                                                                                                                                                                                                                                                                                                                                                              </w:divBdr>
                                                                                                                                                                                                                                                                                                                                                                                                                              <w:divsChild>
                                                                                                                                                                                                                                                                                                                                                                                                                                <w:div w:id="649361118">
                                                                                                                                                                                                                                                                                                                                                                                                                                  <w:marLeft w:val="0"/>
                                                                                                                                                                                                                                                                                                                                                                                                                                  <w:marRight w:val="0"/>
                                                                                                                                                                                                                                                                                                                                                                                                                                  <w:marTop w:val="0"/>
                                                                                                                                                                                                                                                                                                                                                                                                                                  <w:marBottom w:val="0"/>
                                                                                                                                                                                                                                                                                                                                                                                                                                  <w:divBdr>
                                                                                                                                                                                                                                                                                                                                                                                                                                    <w:top w:val="none" w:sz="0" w:space="0" w:color="auto"/>
                                                                                                                                                                                                                                                                                                                                                                                                                                    <w:left w:val="none" w:sz="0" w:space="0" w:color="auto"/>
                                                                                                                                                                                                                                                                                                                                                                                                                                    <w:bottom w:val="none" w:sz="0" w:space="0" w:color="auto"/>
                                                                                                                                                                                                                                                                                                                                                                                                                                    <w:right w:val="none" w:sz="0" w:space="0" w:color="auto"/>
                                                                                                                                                                                                                                                                                                                                                                                                                                  </w:divBdr>
                                                                                                                                                                                                                                                                                                                                                                                                                                  <w:divsChild>
                                                                                                                                                                                                                                                                                                                                                                                                                                    <w:div w:id="224264418">
                                                                                                                                                                                                                                                                                                                                                                                                                                      <w:marLeft w:val="0"/>
                                                                                                                                                                                                                                                                                                                                                                                                                                      <w:marRight w:val="0"/>
                                                                                                                                                                                                                                                                                                                                                                                                                                      <w:marTop w:val="0"/>
                                                                                                                                                                                                                                                                                                                                                                                                                                      <w:marBottom w:val="0"/>
                                                                                                                                                                                                                                                                                                                                                                                                                                      <w:divBdr>
                                                                                                                                                                                                                                                                                                                                                                                                                                        <w:top w:val="none" w:sz="0" w:space="0" w:color="auto"/>
                                                                                                                                                                                                                                                                                                                                                                                                                                        <w:left w:val="none" w:sz="0" w:space="0" w:color="auto"/>
                                                                                                                                                                                                                                                                                                                                                                                                                                        <w:bottom w:val="none" w:sz="0" w:space="0" w:color="auto"/>
                                                                                                                                                                                                                                                                                                                                                                                                                                        <w:right w:val="none" w:sz="0" w:space="0" w:color="auto"/>
                                                                                                                                                                                                                                                                                                                                                                                                                                      </w:divBdr>
                                                                                                                                                                                                                                                                                                                                                                                                                                      <w:divsChild>
                                                                                                                                                                                                                                                                                                                                                                                                                                        <w:div w:id="1327174937">
                                                                                                                                                                                                                                                                                                                                                                                                                                          <w:marLeft w:val="0"/>
                                                                                                                                                                                                                                                                                                                                                                                                                                          <w:marRight w:val="0"/>
                                                                                                                                                                                                                                                                                                                                                                                                                                          <w:marTop w:val="0"/>
                                                                                                                                                                                                                                                                                                                                                                                                                                          <w:marBottom w:val="0"/>
                                                                                                                                                                                                                                                                                                                                                                                                                                          <w:divBdr>
                                                                                                                                                                                                                                                                                                                                                                                                                                            <w:top w:val="none" w:sz="0" w:space="0" w:color="auto"/>
                                                                                                                                                                                                                                                                                                                                                                                                                                            <w:left w:val="none" w:sz="0" w:space="0" w:color="auto"/>
                                                                                                                                                                                                                                                                                                                                                                                                                                            <w:bottom w:val="none" w:sz="0" w:space="0" w:color="auto"/>
                                                                                                                                                                                                                                                                                                                                                                                                                                            <w:right w:val="none" w:sz="0" w:space="0" w:color="auto"/>
                                                                                                                                                                                                                                                                                                                                                                                                                                          </w:divBdr>
                                                                                                                                                                                                                                                                                                                                                                                                                                          <w:divsChild>
                                                                                                                                                                                                                                                                                                                                                                                                                                            <w:div w:id="1979605257">
                                                                                                                                                                                                                                                                                                                                                                                                                                              <w:marLeft w:val="0"/>
                                                                                                                                                                                                                                                                                                                                                                                                                                              <w:marRight w:val="0"/>
                                                                                                                                                                                                                                                                                                                                                                                                                                              <w:marTop w:val="0"/>
                                                                                                                                                                                                                                                                                                                                                                                                                                              <w:marBottom w:val="0"/>
                                                                                                                                                                                                                                                                                                                                                                                                                                              <w:divBdr>
                                                                                                                                                                                                                                                                                                                                                                                                                                                <w:top w:val="none" w:sz="0" w:space="0" w:color="auto"/>
                                                                                                                                                                                                                                                                                                                                                                                                                                                <w:left w:val="none" w:sz="0" w:space="0" w:color="auto"/>
                                                                                                                                                                                                                                                                                                                                                                                                                                                <w:bottom w:val="none" w:sz="0" w:space="0" w:color="auto"/>
                                                                                                                                                                                                                                                                                                                                                                                                                                                <w:right w:val="none" w:sz="0" w:space="0" w:color="auto"/>
                                                                                                                                                                                                                                                                                                                                                                                                                                              </w:divBdr>
                                                                                                                                                                                                                                                                                                                                                                                                                                              <w:divsChild>
                                                                                                                                                                                                                                                                                                                                                                                                                                                <w:div w:id="1343127081">
                                                                                                                                                                                                                                                                                                                                                                                                                                                  <w:marLeft w:val="0"/>
                                                                                                                                                                                                                                                                                                                                                                                                                                                  <w:marRight w:val="0"/>
                                                                                                                                                                                                                                                                                                                                                                                                                                                  <w:marTop w:val="0"/>
                                                                                                                                                                                                                                                                                                                                                                                                                                                  <w:marBottom w:val="0"/>
                                                                                                                                                                                                                                                                                                                                                                                                                                                  <w:divBdr>
                                                                                                                                                                                                                                                                                                                                                                                                                                                    <w:top w:val="none" w:sz="0" w:space="0" w:color="auto"/>
                                                                                                                                                                                                                                                                                                                                                                                                                                                    <w:left w:val="none" w:sz="0" w:space="0" w:color="auto"/>
                                                                                                                                                                                                                                                                                                                                                                                                                                                    <w:bottom w:val="none" w:sz="0" w:space="0" w:color="auto"/>
                                                                                                                                                                                                                                                                                                                                                                                                                                                    <w:right w:val="none" w:sz="0" w:space="0" w:color="auto"/>
                                                                                                                                                                                                                                                                                                                                                                                                                                                  </w:divBdr>
                                                                                                                                                                                                                                                                                                                                                                                                                                                  <w:divsChild>
                                                                                                                                                                                                                                                                                                                                                                                                                                                    <w:div w:id="384062617">
                                                                                                                                                                                                                                                                                                                                                                                                                                                      <w:marLeft w:val="0"/>
                                                                                                                                                                                                                                                                                                                                                                                                                                                      <w:marRight w:val="0"/>
                                                                                                                                                                                                                                                                                                                                                                                                                                                      <w:marTop w:val="0"/>
                                                                                                                                                                                                                                                                                                                                                                                                                                                      <w:marBottom w:val="0"/>
                                                                                                                                                                                                                                                                                                                                                                                                                                                      <w:divBdr>
                                                                                                                                                                                                                                                                                                                                                                                                                                                        <w:top w:val="none" w:sz="0" w:space="0" w:color="auto"/>
                                                                                                                                                                                                                                                                                                                                                                                                                                                        <w:left w:val="none" w:sz="0" w:space="0" w:color="auto"/>
                                                                                                                                                                                                                                                                                                                                                                                                                                                        <w:bottom w:val="none" w:sz="0" w:space="0" w:color="auto"/>
                                                                                                                                                                                                                                                                                                                                                                                                                                                        <w:right w:val="none" w:sz="0" w:space="0" w:color="auto"/>
                                                                                                                                                                                                                                                                                                                                                                                                                                                      </w:divBdr>
                                                                                                                                                                                                                                                                                                                                                                                                                                                      <w:divsChild>
                                                                                                                                                                                                                                                                                                                                                                                                                                                        <w:div w:id="26836961">
                                                                                                                                                                                                                                                                                                                                                                                                                                                          <w:marLeft w:val="0"/>
                                                                                                                                                                                                                                                                                                                                                                                                                                                          <w:marRight w:val="0"/>
                                                                                                                                                                                                                                                                                                                                                                                                                                                          <w:marTop w:val="0"/>
                                                                                                                                                                                                                                                                                                                                                                                                                                                          <w:marBottom w:val="0"/>
                                                                                                                                                                                                                                                                                                                                                                                                                                                          <w:divBdr>
                                                                                                                                                                                                                                                                                                                                                                                                                                                            <w:top w:val="none" w:sz="0" w:space="0" w:color="auto"/>
                                                                                                                                                                                                                                                                                                                                                                                                                                                            <w:left w:val="none" w:sz="0" w:space="0" w:color="auto"/>
                                                                                                                                                                                                                                                                                                                                                                                                                                                            <w:bottom w:val="none" w:sz="0" w:space="0" w:color="auto"/>
                                                                                                                                                                                                                                                                                                                                                                                                                                                            <w:right w:val="none" w:sz="0" w:space="0" w:color="auto"/>
                                                                                                                                                                                                                                                                                                                                                                                                                                                          </w:divBdr>
                                                                                                                                                                                                                                                                                                                                                                                                                                                          <w:divsChild>
                                                                                                                                                                                                                                                                                                                                                                                                                                                            <w:div w:id="1949309993">
                                                                                                                                                                                                                                                                                                                                                                                                                                                              <w:marLeft w:val="0"/>
                                                                                                                                                                                                                                                                                                                                                                                                                                                              <w:marRight w:val="0"/>
                                                                                                                                                                                                                                                                                                                                                                                                                                                              <w:marTop w:val="0"/>
                                                                                                                                                                                                                                                                                                                                                                                                                                                              <w:marBottom w:val="0"/>
                                                                                                                                                                                                                                                                                                                                                                                                                                                              <w:divBdr>
                                                                                                                                                                                                                                                                                                                                                                                                                                                                <w:top w:val="none" w:sz="0" w:space="0" w:color="auto"/>
                                                                                                                                                                                                                                                                                                                                                                                                                                                                <w:left w:val="none" w:sz="0" w:space="0" w:color="auto"/>
                                                                                                                                                                                                                                                                                                                                                                                                                                                                <w:bottom w:val="none" w:sz="0" w:space="0" w:color="auto"/>
                                                                                                                                                                                                                                                                                                                                                                                                                                                                <w:right w:val="none" w:sz="0" w:space="0" w:color="auto"/>
                                                                                                                                                                                                                                                                                                                                                                                                                                                              </w:divBdr>
                                                                                                                                                                                                                                                                                                                                                                                                                                                              <w:divsChild>
                                                                                                                                                                                                                                                                                                                                                                                                                                                                <w:div w:id="1758475154">
                                                                                                                                                                                                                                                                                                                                                                                                                                                                  <w:marLeft w:val="0"/>
                                                                                                                                                                                                                                                                                                                                                                                                                                                                  <w:marRight w:val="0"/>
                                                                                                                                                                                                                                                                                                                                                                                                                                                                  <w:marTop w:val="0"/>
                                                                                                                                                                                                                                                                                                                                                                                                                                                                  <w:marBottom w:val="0"/>
                                                                                                                                                                                                                                                                                                                                                                                                                                                                  <w:divBdr>
                                                                                                                                                                                                                                                                                                                                                                                                                                                                    <w:top w:val="none" w:sz="0" w:space="0" w:color="auto"/>
                                                                                                                                                                                                                                                                                                                                                                                                                                                                    <w:left w:val="none" w:sz="0" w:space="0" w:color="auto"/>
                                                                                                                                                                                                                                                                                                                                                                                                                                                                    <w:bottom w:val="none" w:sz="0" w:space="0" w:color="auto"/>
                                                                                                                                                                                                                                                                                                                                                                                                                                                                    <w:right w:val="none" w:sz="0" w:space="0" w:color="auto"/>
                                                                                                                                                                                                                                                                                                                                                                                                                                                                  </w:divBdr>
                                                                                                                                                                                                                                                                                                                                                                                                                                                                  <w:divsChild>
                                                                                                                                                                                                                                                                                                                                                                                                                                                                    <w:div w:id="531839769">
                                                                                                                                                                                                                                                                                                                                                                                                                                                                      <w:marLeft w:val="0"/>
                                                                                                                                                                                                                                                                                                                                                                                                                                                                      <w:marRight w:val="0"/>
                                                                                                                                                                                                                                                                                                                                                                                                                                                                      <w:marTop w:val="0"/>
                                                                                                                                                                                                                                                                                                                                                                                                                                                                      <w:marBottom w:val="0"/>
                                                                                                                                                                                                                                                                                                                                                                                                                                                                      <w:divBdr>
                                                                                                                                                                                                                                                                                                                                                                                                                                                                        <w:top w:val="none" w:sz="0" w:space="0" w:color="auto"/>
                                                                                                                                                                                                                                                                                                                                                                                                                                                                        <w:left w:val="none" w:sz="0" w:space="0" w:color="auto"/>
                                                                                                                                                                                                                                                                                                                                                                                                                                                                        <w:bottom w:val="none" w:sz="0" w:space="0" w:color="auto"/>
                                                                                                                                                                                                                                                                                                                                                                                                                                                                        <w:right w:val="none" w:sz="0" w:space="0" w:color="auto"/>
                                                                                                                                                                                                                                                                                                                                                                                                                                                                      </w:divBdr>
                                                                                                                                                                                                                                                                                                                                                                                                                                                                      <w:divsChild>
                                                                                                                                                                                                                                                                                                                                                                                                                                                                        <w:div w:id="2119593926">
                                                                                                                                                                                                                                                                                                                                                                                                                                                                          <w:marLeft w:val="0"/>
                                                                                                                                                                                                                                                                                                                                                                                                                                                                          <w:marRight w:val="0"/>
                                                                                                                                                                                                                                                                                                                                                                                                                                                                          <w:marTop w:val="0"/>
                                                                                                                                                                                                                                                                                                                                                                                                                                                                          <w:marBottom w:val="0"/>
                                                                                                                                                                                                                                                                                                                                                                                                                                                                          <w:divBdr>
                                                                                                                                                                                                                                                                                                                                                                                                                                                                            <w:top w:val="none" w:sz="0" w:space="0" w:color="auto"/>
                                                                                                                                                                                                                                                                                                                                                                                                                                                                            <w:left w:val="none" w:sz="0" w:space="0" w:color="auto"/>
                                                                                                                                                                                                                                                                                                                                                                                                                                                                            <w:bottom w:val="none" w:sz="0" w:space="0" w:color="auto"/>
                                                                                                                                                                                                                                                                                                                                                                                                                                                                            <w:right w:val="none" w:sz="0" w:space="0" w:color="auto"/>
                                                                                                                                                                                                                                                                                                                                                                                                                                                                          </w:divBdr>
                                                                                                                                                                                                                                                                                                                                                                                                                                                                          <w:divsChild>
                                                                                                                                                                                                                                                                                                                                                                                                                                                                            <w:div w:id="1973630263">
                                                                                                                                                                                                                                                                                                                                                                                                                                                                              <w:marLeft w:val="0"/>
                                                                                                                                                                                                                                                                                                                                                                                                                                                                              <w:marRight w:val="0"/>
                                                                                                                                                                                                                                                                                                                                                                                                                                                                              <w:marTop w:val="0"/>
                                                                                                                                                                                                                                                                                                                                                                                                                                                                              <w:marBottom w:val="0"/>
                                                                                                                                                                                                                                                                                                                                                                                                                                                                              <w:divBdr>
                                                                                                                                                                                                                                                                                                                                                                                                                                                                                <w:top w:val="none" w:sz="0" w:space="0" w:color="auto"/>
                                                                                                                                                                                                                                                                                                                                                                                                                                                                                <w:left w:val="none" w:sz="0" w:space="0" w:color="auto"/>
                                                                                                                                                                                                                                                                                                                                                                                                                                                                                <w:bottom w:val="none" w:sz="0" w:space="0" w:color="auto"/>
                                                                                                                                                                                                                                                                                                                                                                                                                                                                                <w:right w:val="none" w:sz="0" w:space="0" w:color="auto"/>
                                                                                                                                                                                                                                                                                                                                                                                                                                                                              </w:divBdr>
                                                                                                                                                                                                                                                                                                                                                                                                                                                                              <w:divsChild>
                                                                                                                                                                                                                                                                                                                                                                                                                                                                                <w:div w:id="2085638982">
                                                                                                                                                                                                                                                                                                                                                                                                                                                                                  <w:marLeft w:val="0"/>
                                                                                                                                                                                                                                                                                                                                                                                                                                                                                  <w:marRight w:val="0"/>
                                                                                                                                                                                                                                                                                                                                                                                                                                                                                  <w:marTop w:val="0"/>
                                                                                                                                                                                                                                                                                                                                                                                                                                                                                  <w:marBottom w:val="0"/>
                                                                                                                                                                                                                                                                                                                                                                                                                                                                                  <w:divBdr>
                                                                                                                                                                                                                                                                                                                                                                                                                                                                                    <w:top w:val="none" w:sz="0" w:space="0" w:color="auto"/>
                                                                                                                                                                                                                                                                                                                                                                                                                                                                                    <w:left w:val="none" w:sz="0" w:space="0" w:color="auto"/>
                                                                                                                                                                                                                                                                                                                                                                                                                                                                                    <w:bottom w:val="none" w:sz="0" w:space="0" w:color="auto"/>
                                                                                                                                                                                                                                                                                                                                                                                                                                                                                    <w:right w:val="none" w:sz="0" w:space="0" w:color="auto"/>
                                                                                                                                                                                                                                                                                                                                                                                                                                                                                  </w:divBdr>
                                                                                                                                                                                                                                                                                                                                                                                                                                                                                  <w:divsChild>
                                                                                                                                                                                                                                                                                                                                                                                                                                                                                    <w:div w:id="1626429458">
                                                                                                                                                                                                                                                                                                                                                                                                                                                                                      <w:marLeft w:val="0"/>
                                                                                                                                                                                                                                                                                                                                                                                                                                                                                      <w:marRight w:val="0"/>
                                                                                                                                                                                                                                                                                                                                                                                                                                                                                      <w:marTop w:val="0"/>
                                                                                                                                                                                                                                                                                                                                                                                                                                                                                      <w:marBottom w:val="0"/>
                                                                                                                                                                                                                                                                                                                                                                                                                                                                                      <w:divBdr>
                                                                                                                                                                                                                                                                                                                                                                                                                                                                                        <w:top w:val="none" w:sz="0" w:space="0" w:color="auto"/>
                                                                                                                                                                                                                                                                                                                                                                                                                                                                                        <w:left w:val="none" w:sz="0" w:space="0" w:color="auto"/>
                                                                                                                                                                                                                                                                                                                                                                                                                                                                                        <w:bottom w:val="none" w:sz="0" w:space="0" w:color="auto"/>
                                                                                                                                                                                                                                                                                                                                                                                                                                                                                        <w:right w:val="none" w:sz="0" w:space="0" w:color="auto"/>
                                                                                                                                                                                                                                                                                                                                                                                                                                                                                      </w:divBdr>
                                                                                                                                                                                                                                                                                                                                                                                                                                                                                      <w:divsChild>
                                                                                                                                                                                                                                                                                                                                                                                                                                                                                        <w:div w:id="1751154472">
                                                                                                                                                                                                                                                                                                                                                                                                                                                                                          <w:marLeft w:val="0"/>
                                                                                                                                                                                                                                                                                                                                                                                                                                                                                          <w:marRight w:val="0"/>
                                                                                                                                                                                                                                                                                                                                                                                                                                                                                          <w:marTop w:val="0"/>
                                                                                                                                                                                                                                                                                                                                                                                                                                                                                          <w:marBottom w:val="0"/>
                                                                                                                                                                                                                                                                                                                                                                                                                                                                                          <w:divBdr>
                                                                                                                                                                                                                                                                                                                                                                                                                                                                                            <w:top w:val="none" w:sz="0" w:space="0" w:color="auto"/>
                                                                                                                                                                                                                                                                                                                                                                                                                                                                                            <w:left w:val="none" w:sz="0" w:space="0" w:color="auto"/>
                                                                                                                                                                                                                                                                                                                                                                                                                                                                                            <w:bottom w:val="none" w:sz="0" w:space="0" w:color="auto"/>
                                                                                                                                                                                                                                                                                                                                                                                                                                                                                            <w:right w:val="none" w:sz="0" w:space="0" w:color="auto"/>
                                                                                                                                                                                                                                                                                                                                                                                                                                                                                          </w:divBdr>
                                                                                                                                                                                                                                                                                                                                                                                                                                                                                          <w:divsChild>
                                                                                                                                                                                                                                                                                                                                                                                                                                                                                            <w:div w:id="1485243439">
                                                                                                                                                                                                                                                                                                                                                                                                                                                                                              <w:marLeft w:val="0"/>
                                                                                                                                                                                                                                                                                                                                                                                                                                                                                              <w:marRight w:val="0"/>
                                                                                                                                                                                                                                                                                                                                                                                                                                                                                              <w:marTop w:val="0"/>
                                                                                                                                                                                                                                                                                                                                                                                                                                                                                              <w:marBottom w:val="0"/>
                                                                                                                                                                                                                                                                                                                                                                                                                                                                                              <w:divBdr>
                                                                                                                                                                                                                                                                                                                                                                                                                                                                                                <w:top w:val="none" w:sz="0" w:space="0" w:color="auto"/>
                                                                                                                                                                                                                                                                                                                                                                                                                                                                                                <w:left w:val="none" w:sz="0" w:space="0" w:color="auto"/>
                                                                                                                                                                                                                                                                                                                                                                                                                                                                                                <w:bottom w:val="none" w:sz="0" w:space="0" w:color="auto"/>
                                                                                                                                                                                                                                                                                                                                                                                                                                                                                                <w:right w:val="none" w:sz="0" w:space="0" w:color="auto"/>
                                                                                                                                                                                                                                                                                                                                                                                                                                                                                              </w:divBdr>
                                                                                                                                                                                                                                                                                                                                                                                                                                                                                              <w:divsChild>
                                                                                                                                                                                                                                                                                                                                                                                                                                                                                                <w:div w:id="1042367999">
                                                                                                                                                                                                                                                                                                                                                                                                                                                                                                  <w:marLeft w:val="0"/>
                                                                                                                                                                                                                                                                                                                                                                                                                                                                                                  <w:marRight w:val="0"/>
                                                                                                                                                                                                                                                                                                                                                                                                                                                                                                  <w:marTop w:val="0"/>
                                                                                                                                                                                                                                                                                                                                                                                                                                                                                                  <w:marBottom w:val="0"/>
                                                                                                                                                                                                                                                                                                                                                                                                                                                                                                  <w:divBdr>
                                                                                                                                                                                                                                                                                                                                                                                                                                                                                                    <w:top w:val="none" w:sz="0" w:space="0" w:color="auto"/>
                                                                                                                                                                                                                                                                                                                                                                                                                                                                                                    <w:left w:val="none" w:sz="0" w:space="0" w:color="auto"/>
                                                                                                                                                                                                                                                                                                                                                                                                                                                                                                    <w:bottom w:val="none" w:sz="0" w:space="0" w:color="auto"/>
                                                                                                                                                                                                                                                                                                                                                                                                                                                                                                    <w:right w:val="none" w:sz="0" w:space="0" w:color="auto"/>
                                                                                                                                                                                                                                                                                                                                                                                                                                                                                                  </w:divBdr>
                                                                                                                                                                                                                                                                                                                                                                                                                                                                                                  <w:divsChild>
                                                                                                                                                                                                                                                                                                                                                                                                                                                                                                    <w:div w:id="926959706">
                                                                                                                                                                                                                                                                                                                                                                                                                                                                                                      <w:marLeft w:val="0"/>
                                                                                                                                                                                                                                                                                                                                                                                                                                                                                                      <w:marRight w:val="0"/>
                                                                                                                                                                                                                                                                                                                                                                                                                                                                                                      <w:marTop w:val="0"/>
                                                                                                                                                                                                                                                                                                                                                                                                                                                                                                      <w:marBottom w:val="0"/>
                                                                                                                                                                                                                                                                                                                                                                                                                                                                                                      <w:divBdr>
                                                                                                                                                                                                                                                                                                                                                                                                                                                                                                        <w:top w:val="none" w:sz="0" w:space="0" w:color="auto"/>
                                                                                                                                                                                                                                                                                                                                                                                                                                                                                                        <w:left w:val="none" w:sz="0" w:space="0" w:color="auto"/>
                                                                                                                                                                                                                                                                                                                                                                                                                                                                                                        <w:bottom w:val="none" w:sz="0" w:space="0" w:color="auto"/>
                                                                                                                                                                                                                                                                                                                                                                                                                                                                                                        <w:right w:val="none" w:sz="0" w:space="0" w:color="auto"/>
                                                                                                                                                                                                                                                                                                                                                                                                                                                                                                      </w:divBdr>
                                                                                                                                                                                                                                                                                                                                                                                                                                                                                                      <w:divsChild>
                                                                                                                                                                                                                                                                                                                                                                                                                                                                                                        <w:div w:id="1730154914">
                                                                                                                                                                                                                                                                                                                                                                                                                                                                                                          <w:marLeft w:val="0"/>
                                                                                                                                                                                                                                                                                                                                                                                                                                                                                                          <w:marRight w:val="0"/>
                                                                                                                                                                                                                                                                                                                                                                                                                                                                                                          <w:marTop w:val="0"/>
                                                                                                                                                                                                                                                                                                                                                                                                                                                                                                          <w:marBottom w:val="0"/>
                                                                                                                                                                                                                                                                                                                                                                                                                                                                                                          <w:divBdr>
                                                                                                                                                                                                                                                                                                                                                                                                                                                                                                            <w:top w:val="none" w:sz="0" w:space="0" w:color="auto"/>
                                                                                                                                                                                                                                                                                                                                                                                                                                                                                                            <w:left w:val="none" w:sz="0" w:space="0" w:color="auto"/>
                                                                                                                                                                                                                                                                                                                                                                                                                                                                                                            <w:bottom w:val="none" w:sz="0" w:space="0" w:color="auto"/>
                                                                                                                                                                                                                                                                                                                                                                                                                                                                                                            <w:right w:val="none" w:sz="0" w:space="0" w:color="auto"/>
                                                                                                                                                                                                                                                                                                                                                                                                                                                                                                          </w:divBdr>
                                                                                                                                                                                                                                                                                                                                                                                                                                                                                                          <w:divsChild>
                                                                                                                                                                                                                                                                                                                                                                                                                                                                                                            <w:div w:id="1222522359">
                                                                                                                                                                                                                                                                                                                                                                                                                                                                                                              <w:marLeft w:val="0"/>
                                                                                                                                                                                                                                                                                                                                                                                                                                                                                                              <w:marRight w:val="0"/>
                                                                                                                                                                                                                                                                                                                                                                                                                                                                                                              <w:marTop w:val="0"/>
                                                                                                                                                                                                                                                                                                                                                                                                                                                                                                              <w:marBottom w:val="0"/>
                                                                                                                                                                                                                                                                                                                                                                                                                                                                                                              <w:divBdr>
                                                                                                                                                                                                                                                                                                                                                                                                                                                                                                                <w:top w:val="none" w:sz="0" w:space="0" w:color="auto"/>
                                                                                                                                                                                                                                                                                                                                                                                                                                                                                                                <w:left w:val="none" w:sz="0" w:space="0" w:color="auto"/>
                                                                                                                                                                                                                                                                                                                                                                                                                                                                                                                <w:bottom w:val="none" w:sz="0" w:space="0" w:color="auto"/>
                                                                                                                                                                                                                                                                                                                                                                                                                                                                                                                <w:right w:val="none" w:sz="0" w:space="0" w:color="auto"/>
                                                                                                                                                                                                                                                                                                                                                                                                                                                                                                              </w:divBdr>
                                                                                                                                                                                                                                                                                                                                                                                                                                                                                                              <w:divsChild>
                                                                                                                                                                                                                                                                                                                                                                                                                                                                                                                <w:div w:id="1012952182">
                                                                                                                                                                                                                                                                                                                                                                                                                                                                                                                  <w:marLeft w:val="0"/>
                                                                                                                                                                                                                                                                                                                                                                                                                                                                                                                  <w:marRight w:val="0"/>
                                                                                                                                                                                                                                                                                                                                                                                                                                                                                                                  <w:marTop w:val="0"/>
                                                                                                                                                                                                                                                                                                                                                                                                                                                                                                                  <w:marBottom w:val="0"/>
                                                                                                                                                                                                                                                                                                                                                                                                                                                                                                                  <w:divBdr>
                                                                                                                                                                                                                                                                                                                                                                                                                                                                                                                    <w:top w:val="none" w:sz="0" w:space="0" w:color="auto"/>
                                                                                                                                                                                                                                                                                                                                                                                                                                                                                                                    <w:left w:val="none" w:sz="0" w:space="0" w:color="auto"/>
                                                                                                                                                                                                                                                                                                                                                                                                                                                                                                                    <w:bottom w:val="none" w:sz="0" w:space="0" w:color="auto"/>
                                                                                                                                                                                                                                                                                                                                                                                                                                                                                                                    <w:right w:val="none" w:sz="0" w:space="0" w:color="auto"/>
                                                                                                                                                                                                                                                                                                                                                                                                                                                                                                                  </w:divBdr>
                                                                                                                                                                                                                                                                                                                                                                                                                                                                                                                  <w:divsChild>
                                                                                                                                                                                                                                                                                                                                                                                                                                                                                                                    <w:div w:id="1610042753">
                                                                                                                                                                                                                                                                                                                                                                                                                                                                                                                      <w:marLeft w:val="0"/>
                                                                                                                                                                                                                                                                                                                                                                                                                                                                                                                      <w:marRight w:val="0"/>
                                                                                                                                                                                                                                                                                                                                                                                                                                                                                                                      <w:marTop w:val="0"/>
                                                                                                                                                                                                                                                                                                                                                                                                                                                                                                                      <w:marBottom w:val="0"/>
                                                                                                                                                                                                                                                                                                                                                                                                                                                                                                                      <w:divBdr>
                                                                                                                                                                                                                                                                                                                                                                                                                                                                                                                        <w:top w:val="none" w:sz="0" w:space="0" w:color="auto"/>
                                                                                                                                                                                                                                                                                                                                                                                                                                                                                                                        <w:left w:val="none" w:sz="0" w:space="0" w:color="auto"/>
                                                                                                                                                                                                                                                                                                                                                                                                                                                                                                                        <w:bottom w:val="none" w:sz="0" w:space="0" w:color="auto"/>
                                                                                                                                                                                                                                                                                                                                                                                                                                                                                                                        <w:right w:val="none" w:sz="0" w:space="0" w:color="auto"/>
                                                                                                                                                                                                                                                                                                                                                                                                                                                                                                                      </w:divBdr>
                                                                                                                                                                                                                                                                                                                                                                                                                                                                                                                      <w:divsChild>
                                                                                                                                                                                                                                                                                                                                                                                                                                                                                                                        <w:div w:id="2016836318">
                                                                                                                                                                                                                                                                                                                                                                                                                                                                                                                          <w:marLeft w:val="0"/>
                                                                                                                                                                                                                                                                                                                                                                                                                                                                                                                          <w:marRight w:val="0"/>
                                                                                                                                                                                                                                                                                                                                                                                                                                                                                                                          <w:marTop w:val="0"/>
                                                                                                                                                                                                                                                                                                                                                                                                                                                                                                                          <w:marBottom w:val="0"/>
                                                                                                                                                                                                                                                                                                                                                                                                                                                                                                                          <w:divBdr>
                                                                                                                                                                                                                                                                                                                                                                                                                                                                                                                            <w:top w:val="none" w:sz="0" w:space="0" w:color="auto"/>
                                                                                                                                                                                                                                                                                                                                                                                                                                                                                                                            <w:left w:val="none" w:sz="0" w:space="0" w:color="auto"/>
                                                                                                                                                                                                                                                                                                                                                                                                                                                                                                                            <w:bottom w:val="none" w:sz="0" w:space="0" w:color="auto"/>
                                                                                                                                                                                                                                                                                                                                                                                                                                                                                                                            <w:right w:val="none" w:sz="0" w:space="0" w:color="auto"/>
                                                                                                                                                                                                                                                                                                                                                                                                                                                                                                                          </w:divBdr>
                                                                                                                                                                                                                                                                                                                                                                                                                                                                                                                          <w:divsChild>
                                                                                                                                                                                                                                                                                                                                                                                                                                                                                                                            <w:div w:id="1843007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chart" Target="charts/chart2.xml"/><Relationship Id="rId18" Type="http://schemas.openxmlformats.org/officeDocument/2006/relationships/image" Target="media/image3.emf"/><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chart" Target="charts/chart5.xml"/><Relationship Id="rId7" Type="http://schemas.openxmlformats.org/officeDocument/2006/relationships/endnotes" Target="endnotes.xml"/><Relationship Id="rId12" Type="http://schemas.openxmlformats.org/officeDocument/2006/relationships/package" Target="embeddings/Diapositiva_de_Microsoft_PowerPoint1.sldx"/><Relationship Id="rId17" Type="http://schemas.openxmlformats.org/officeDocument/2006/relationships/chart" Target="charts/chart3.xml"/><Relationship Id="rId25" Type="http://schemas.openxmlformats.org/officeDocument/2006/relationships/chart" Target="charts/chart7.xml"/><Relationship Id="rId2" Type="http://schemas.openxmlformats.org/officeDocument/2006/relationships/numbering" Target="numbering.xml"/><Relationship Id="rId16" Type="http://schemas.openxmlformats.org/officeDocument/2006/relationships/package" Target="embeddings/Diapositiva_de_Microsoft_PowerPoint2.sldx"/><Relationship Id="rId20" Type="http://schemas.openxmlformats.org/officeDocument/2006/relationships/chart" Target="charts/chart4.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emf"/><Relationship Id="rId24" Type="http://schemas.openxmlformats.org/officeDocument/2006/relationships/package" Target="embeddings/Diapositiva_de_Microsoft_PowerPoint4.sldx"/><Relationship Id="rId5" Type="http://schemas.openxmlformats.org/officeDocument/2006/relationships/webSettings" Target="webSettings.xml"/><Relationship Id="rId15" Type="http://schemas.openxmlformats.org/officeDocument/2006/relationships/image" Target="media/image2.emf"/><Relationship Id="rId23" Type="http://schemas.openxmlformats.org/officeDocument/2006/relationships/image" Target="media/image4.emf"/><Relationship Id="rId28" Type="http://schemas.openxmlformats.org/officeDocument/2006/relationships/fontTable" Target="fontTable.xml"/><Relationship Id="rId10" Type="http://schemas.openxmlformats.org/officeDocument/2006/relationships/chart" Target="charts/chart1.xml"/><Relationship Id="rId19" Type="http://schemas.openxmlformats.org/officeDocument/2006/relationships/package" Target="embeddings/Diapositiva_de_Microsoft_PowerPoint3.sldx"/><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hyperlink" Target="http://www.google.com.co/url?sa=t&amp;rct=j&amp;q=&amp;esrc=s&amp;source=web&amp;cd=1&amp;ved=0CC8QFjAA&amp;url=http%3A%2F%2Fwww.uakron.edu%2Fresearch%2Fuarf.dot&amp;ei=kuWHUoqPCNPgsASLsYHADw&amp;usg=AFQjCNFK20ffwLzDLFJMDwrVZlhWaBuKjA&amp;sig2=qk78yjmACoxJ7wPSuiMTbA&amp;bvm=bv.56643336,d.cWc&amp;cad=rja" TargetMode="External"/><Relationship Id="rId22" Type="http://schemas.openxmlformats.org/officeDocument/2006/relationships/chart" Target="charts/chart6.xml"/><Relationship Id="rId27"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7.jpeg"/><Relationship Id="rId2" Type="http://schemas.openxmlformats.org/officeDocument/2006/relationships/image" Target="media/image6.jpeg"/><Relationship Id="rId1" Type="http://schemas.openxmlformats.org/officeDocument/2006/relationships/image" Target="media/image5.png"/></Relationships>
</file>

<file path=word/charts/_rels/chart1.xml.rels><?xml version="1.0" encoding="UTF-8" standalone="yes"?>
<Relationships xmlns="http://schemas.openxmlformats.org/package/2006/relationships"><Relationship Id="rId1" Type="http://schemas.openxmlformats.org/officeDocument/2006/relationships/oleObject" Target="file:///D:\Dropbox\Proyecto%20SpinOff%20UdeA\Marco%20de%20referencia\Grafica%203_informe%20final.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Profesional-UE\Dropbox\Proyecto%20SpinOff%20UdeA\Marco%20de%20referencia\EEUU\191000011x1t005.xls"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Profesional-UE\Dropbox\Proyecto%20SpinOff%20UdeA\Marco%20de%20referencia\EEUU\191000011x1t005.xls"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Profesional-UE\Dropbox\Proyecto%20SpinOff%20UdeA\Marco%20de%20referencia\EEUU\191000011x1t005.xls"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latin typeface="Candara" panose="020E0502030303020204" pitchFamily="34" charset="0"/>
              </a:defRPr>
            </a:pPr>
            <a:r>
              <a:rPr lang="en-US" sz="1100">
                <a:latin typeface="Candara" panose="020E0502030303020204" pitchFamily="34" charset="0"/>
              </a:rPr>
              <a:t>Número</a:t>
            </a:r>
            <a:r>
              <a:rPr lang="en-US" sz="1100" baseline="0">
                <a:latin typeface="Candara" panose="020E0502030303020204" pitchFamily="34" charset="0"/>
              </a:rPr>
              <a:t> de spin-offs formadas en Estados Unidos 1980-2009</a:t>
            </a:r>
            <a:endParaRPr lang="en-US" sz="1100">
              <a:latin typeface="Candara" panose="020E0502030303020204" pitchFamily="34" charset="0"/>
            </a:endParaRPr>
          </a:p>
        </c:rich>
      </c:tx>
      <c:overlay val="0"/>
    </c:title>
    <c:autoTitleDeleted val="0"/>
    <c:plotArea>
      <c:layout/>
      <c:barChart>
        <c:barDir val="col"/>
        <c:grouping val="clustered"/>
        <c:varyColors val="0"/>
        <c:ser>
          <c:idx val="0"/>
          <c:order val="0"/>
          <c:tx>
            <c:strRef>
              <c:f>Hoja1!$A$7</c:f>
              <c:strCache>
                <c:ptCount val="1"/>
                <c:pt idx="0">
                  <c:v>University Spin-Offs Formed</c:v>
                </c:pt>
              </c:strCache>
            </c:strRef>
          </c:tx>
          <c:invertIfNegative val="0"/>
          <c:cat>
            <c:strRef>
              <c:f>Hoja1!$A$11:$A$27</c:f>
              <c:strCache>
                <c:ptCount val="17"/>
                <c:pt idx="0">
                  <c:v>1980-9</c:v>
                </c:pt>
                <c:pt idx="1">
                  <c:v>1994</c:v>
                </c:pt>
                <c:pt idx="2">
                  <c:v>1995</c:v>
                </c:pt>
                <c:pt idx="3">
                  <c:v>1996</c:v>
                </c:pt>
                <c:pt idx="4">
                  <c:v>1997</c:v>
                </c:pt>
                <c:pt idx="5">
                  <c:v>1998</c:v>
                </c:pt>
                <c:pt idx="6">
                  <c:v>1999</c:v>
                </c:pt>
                <c:pt idx="7">
                  <c:v>2000</c:v>
                </c:pt>
                <c:pt idx="8">
                  <c:v>2001</c:v>
                </c:pt>
                <c:pt idx="9">
                  <c:v>2002</c:v>
                </c:pt>
                <c:pt idx="10">
                  <c:v>2003</c:v>
                </c:pt>
                <c:pt idx="11">
                  <c:v>2004</c:v>
                </c:pt>
                <c:pt idx="12">
                  <c:v>2005</c:v>
                </c:pt>
                <c:pt idx="13">
                  <c:v>2006</c:v>
                </c:pt>
                <c:pt idx="14">
                  <c:v>2007</c:v>
                </c:pt>
                <c:pt idx="15">
                  <c:v>2008</c:v>
                </c:pt>
                <c:pt idx="16">
                  <c:v>2009</c:v>
                </c:pt>
              </c:strCache>
            </c:strRef>
          </c:cat>
          <c:val>
            <c:numRef>
              <c:f>Hoja1!$B$11:$B$27</c:f>
              <c:numCache>
                <c:formatCode>General</c:formatCode>
                <c:ptCount val="17"/>
                <c:pt idx="0">
                  <c:v>820</c:v>
                </c:pt>
                <c:pt idx="1">
                  <c:v>210</c:v>
                </c:pt>
                <c:pt idx="2">
                  <c:v>190</c:v>
                </c:pt>
                <c:pt idx="3">
                  <c:v>200</c:v>
                </c:pt>
                <c:pt idx="4">
                  <c:v>285</c:v>
                </c:pt>
                <c:pt idx="5">
                  <c:v>305</c:v>
                </c:pt>
                <c:pt idx="6">
                  <c:v>295</c:v>
                </c:pt>
                <c:pt idx="7">
                  <c:v>395</c:v>
                </c:pt>
                <c:pt idx="8">
                  <c:v>430</c:v>
                </c:pt>
                <c:pt idx="9">
                  <c:v>395</c:v>
                </c:pt>
                <c:pt idx="10">
                  <c:v>370</c:v>
                </c:pt>
                <c:pt idx="11">
                  <c:v>450</c:v>
                </c:pt>
                <c:pt idx="12">
                  <c:v>440</c:v>
                </c:pt>
                <c:pt idx="13">
                  <c:v>550</c:v>
                </c:pt>
                <c:pt idx="14">
                  <c:v>550</c:v>
                </c:pt>
                <c:pt idx="15">
                  <c:v>595</c:v>
                </c:pt>
                <c:pt idx="16">
                  <c:v>595</c:v>
                </c:pt>
              </c:numCache>
            </c:numRef>
          </c:val>
        </c:ser>
        <c:dLbls>
          <c:showLegendKey val="0"/>
          <c:showVal val="0"/>
          <c:showCatName val="0"/>
          <c:showSerName val="0"/>
          <c:showPercent val="0"/>
          <c:showBubbleSize val="0"/>
        </c:dLbls>
        <c:gapWidth val="150"/>
        <c:axId val="349825400"/>
        <c:axId val="274658976"/>
      </c:barChart>
      <c:catAx>
        <c:axId val="349825400"/>
        <c:scaling>
          <c:orientation val="minMax"/>
        </c:scaling>
        <c:delete val="0"/>
        <c:axPos val="b"/>
        <c:title>
          <c:tx>
            <c:rich>
              <a:bodyPr/>
              <a:lstStyle/>
              <a:p>
                <a:pPr>
                  <a:defRPr sz="1200" b="0">
                    <a:latin typeface="Candara" panose="020E0502030303020204" pitchFamily="34" charset="0"/>
                  </a:defRPr>
                </a:pPr>
                <a:r>
                  <a:rPr lang="es-MX" sz="1200" b="1">
                    <a:latin typeface="Candara" panose="020E0502030303020204" pitchFamily="34" charset="0"/>
                    <a:cs typeface="Arial" pitchFamily="34" charset="0"/>
                  </a:rPr>
                  <a:t>Año</a:t>
                </a:r>
              </a:p>
            </c:rich>
          </c:tx>
          <c:overlay val="0"/>
        </c:title>
        <c:numFmt formatCode="General" sourceLinked="1"/>
        <c:majorTickMark val="none"/>
        <c:minorTickMark val="none"/>
        <c:tickLblPos val="nextTo"/>
        <c:txPr>
          <a:bodyPr rot="-60000000" vert="horz"/>
          <a:lstStyle/>
          <a:p>
            <a:pPr>
              <a:defRPr/>
            </a:pPr>
            <a:endParaRPr lang="es-CO"/>
          </a:p>
        </c:txPr>
        <c:crossAx val="274658976"/>
        <c:crosses val="autoZero"/>
        <c:auto val="1"/>
        <c:lblAlgn val="ctr"/>
        <c:lblOffset val="100"/>
        <c:noMultiLvlLbl val="0"/>
      </c:catAx>
      <c:valAx>
        <c:axId val="274658976"/>
        <c:scaling>
          <c:orientation val="minMax"/>
        </c:scaling>
        <c:delete val="0"/>
        <c:axPos val="l"/>
        <c:majorGridlines/>
        <c:title>
          <c:tx>
            <c:rich>
              <a:bodyPr/>
              <a:lstStyle/>
              <a:p>
                <a:pPr>
                  <a:defRPr sz="1200">
                    <a:latin typeface="Candara" panose="020E0502030303020204" pitchFamily="34" charset="0"/>
                  </a:defRPr>
                </a:pPr>
                <a:r>
                  <a:rPr lang="es-MX" sz="1200">
                    <a:latin typeface="Candara" panose="020E0502030303020204" pitchFamily="34" charset="0"/>
                  </a:rPr>
                  <a:t>Número</a:t>
                </a:r>
                <a:r>
                  <a:rPr lang="es-MX" sz="1200" baseline="0">
                    <a:latin typeface="Candara" panose="020E0502030303020204" pitchFamily="34" charset="0"/>
                  </a:rPr>
                  <a:t> de empresas spin-off</a:t>
                </a:r>
                <a:endParaRPr lang="es-MX" sz="1200">
                  <a:latin typeface="Candara" panose="020E0502030303020204" pitchFamily="34" charset="0"/>
                </a:endParaRPr>
              </a:p>
            </c:rich>
          </c:tx>
          <c:layout>
            <c:manualLayout>
              <c:xMode val="edge"/>
              <c:yMode val="edge"/>
              <c:x val="1.3872833632773545E-2"/>
              <c:y val="0.23113184986469801"/>
            </c:manualLayout>
          </c:layout>
          <c:overlay val="0"/>
        </c:title>
        <c:numFmt formatCode="General" sourceLinked="1"/>
        <c:majorTickMark val="out"/>
        <c:minorTickMark val="none"/>
        <c:tickLblPos val="nextTo"/>
        <c:txPr>
          <a:bodyPr rot="-60000000" vert="horz"/>
          <a:lstStyle/>
          <a:p>
            <a:pPr>
              <a:defRPr/>
            </a:pPr>
            <a:endParaRPr lang="es-CO"/>
          </a:p>
        </c:txPr>
        <c:crossAx val="349825400"/>
        <c:crosses val="autoZero"/>
        <c:crossBetween val="between"/>
      </c:valAx>
      <c:spPr>
        <a:ln>
          <a:solidFill>
            <a:schemeClr val="accent1"/>
          </a:solidFill>
        </a:ln>
      </c:spPr>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s-ES" sz="1400" b="0" i="0" u="none" strike="noStrike" kern="1200" spc="0" baseline="0">
                <a:solidFill>
                  <a:schemeClr val="tx1">
                    <a:lumMod val="65000"/>
                    <a:lumOff val="35000"/>
                  </a:schemeClr>
                </a:solidFill>
                <a:latin typeface="Candara" panose="020E0502030303020204" pitchFamily="34" charset="0"/>
                <a:ea typeface="+mn-ea"/>
                <a:cs typeface="+mn-cs"/>
              </a:defRPr>
            </a:pPr>
            <a:r>
              <a:rPr lang="es-CO">
                <a:latin typeface="Candara" panose="020E0502030303020204" pitchFamily="34" charset="0"/>
              </a:rPr>
              <a:t>Gasto en I+D de EEUU en relación</a:t>
            </a:r>
            <a:r>
              <a:rPr lang="es-CO" baseline="0">
                <a:latin typeface="Candara" panose="020E0502030303020204" pitchFamily="34" charset="0"/>
              </a:rPr>
              <a:t> al PIB</a:t>
            </a:r>
            <a:endParaRPr lang="es-CO">
              <a:latin typeface="Candara" panose="020E0502030303020204" pitchFamily="34" charset="0"/>
            </a:endParaRPr>
          </a:p>
        </c:rich>
      </c:tx>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cat>
            <c:strRef>
              <c:f>'[191000011x1t005.xls]English'!$C$56:$J$56</c:f>
              <c:strCache>
                <c:ptCount val="8"/>
                <c:pt idx="0">
                  <c:v>2004</c:v>
                </c:pt>
                <c:pt idx="1">
                  <c:v>2005</c:v>
                </c:pt>
                <c:pt idx="2">
                  <c:v>2006</c:v>
                </c:pt>
                <c:pt idx="3">
                  <c:v>2007</c:v>
                </c:pt>
                <c:pt idx="4">
                  <c:v>2008</c:v>
                </c:pt>
                <c:pt idx="5">
                  <c:v>2009</c:v>
                </c:pt>
                <c:pt idx="6">
                  <c:v>2010</c:v>
                </c:pt>
                <c:pt idx="7">
                  <c:v>2011</c:v>
                </c:pt>
              </c:strCache>
            </c:strRef>
          </c:cat>
          <c:val>
            <c:numRef>
              <c:f>'[191000011x1t005.xls]English'!$C$57:$J$57</c:f>
              <c:numCache>
                <c:formatCode>##0.00;\-##0.00;0.00;</c:formatCode>
                <c:ptCount val="8"/>
                <c:pt idx="0">
                  <c:v>2.5453304853447301</c:v>
                </c:pt>
                <c:pt idx="1">
                  <c:v>2.5941437246802397</c:v>
                </c:pt>
                <c:pt idx="2">
                  <c:v>2.65370836306283</c:v>
                </c:pt>
                <c:pt idx="3">
                  <c:v>2.7223423913821998</c:v>
                </c:pt>
                <c:pt idx="4">
                  <c:v>2.8570886049242765</c:v>
                </c:pt>
                <c:pt idx="5">
                  <c:v>2.9145435053207867</c:v>
                </c:pt>
                <c:pt idx="6">
                  <c:v>2.83407770087521</c:v>
                </c:pt>
                <c:pt idx="7" formatCode="##0.00\ \(\p\);\-##0.00\ \(\p\);0.00\ \(\p\);\ \(\p\)">
                  <c:v>2.7695596779465412</c:v>
                </c:pt>
              </c:numCache>
            </c:numRef>
          </c:val>
        </c:ser>
        <c:dLbls>
          <c:showLegendKey val="0"/>
          <c:showVal val="0"/>
          <c:showCatName val="0"/>
          <c:showSerName val="0"/>
          <c:showPercent val="0"/>
          <c:showBubbleSize val="0"/>
        </c:dLbls>
        <c:gapWidth val="219"/>
        <c:overlap val="-27"/>
        <c:axId val="274657408"/>
        <c:axId val="429470144"/>
      </c:barChart>
      <c:catAx>
        <c:axId val="2746574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s-ES" sz="900" b="0" i="0" u="none" strike="noStrike" kern="1200" baseline="0">
                <a:solidFill>
                  <a:schemeClr val="tx1">
                    <a:lumMod val="65000"/>
                    <a:lumOff val="35000"/>
                  </a:schemeClr>
                </a:solidFill>
                <a:latin typeface="Candara" panose="020E0502030303020204" pitchFamily="34" charset="0"/>
                <a:ea typeface="+mn-ea"/>
                <a:cs typeface="+mn-cs"/>
              </a:defRPr>
            </a:pPr>
            <a:endParaRPr lang="es-CO"/>
          </a:p>
        </c:txPr>
        <c:crossAx val="429470144"/>
        <c:crosses val="autoZero"/>
        <c:auto val="1"/>
        <c:lblAlgn val="ctr"/>
        <c:lblOffset val="100"/>
        <c:noMultiLvlLbl val="0"/>
      </c:catAx>
      <c:valAx>
        <c:axId val="429470144"/>
        <c:scaling>
          <c:orientation val="minMax"/>
        </c:scaling>
        <c:delete val="0"/>
        <c:axPos val="l"/>
        <c:majorGridlines>
          <c:spPr>
            <a:ln w="9525" cap="flat" cmpd="sng" algn="ctr">
              <a:solidFill>
                <a:schemeClr val="tx1">
                  <a:lumMod val="15000"/>
                  <a:lumOff val="85000"/>
                </a:schemeClr>
              </a:solidFill>
              <a:round/>
            </a:ln>
            <a:effectLst/>
          </c:spPr>
        </c:majorGridlines>
        <c:numFmt formatCode="##0.00;\-##0.00;0.00;" sourceLinked="1"/>
        <c:majorTickMark val="none"/>
        <c:minorTickMark val="none"/>
        <c:tickLblPos val="nextTo"/>
        <c:spPr>
          <a:noFill/>
          <a:ln>
            <a:noFill/>
          </a:ln>
          <a:effectLst/>
        </c:spPr>
        <c:txPr>
          <a:bodyPr rot="-60000000" spcFirstLastPara="1" vertOverflow="ellipsis" vert="horz" wrap="square" anchor="ctr" anchorCtr="1"/>
          <a:lstStyle/>
          <a:p>
            <a:pPr>
              <a:defRPr lang="es-ES" sz="900" b="0" i="0" u="none" strike="noStrike" kern="1200" baseline="0">
                <a:solidFill>
                  <a:schemeClr val="tx1">
                    <a:lumMod val="65000"/>
                    <a:lumOff val="35000"/>
                  </a:schemeClr>
                </a:solidFill>
                <a:latin typeface="+mn-lt"/>
                <a:ea typeface="+mn-ea"/>
                <a:cs typeface="+mn-cs"/>
              </a:defRPr>
            </a:pPr>
            <a:endParaRPr lang="es-CO"/>
          </a:p>
        </c:txPr>
        <c:crossAx val="27465740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Candara" panose="020E0502030303020204" pitchFamily="34" charset="0"/>
                <a:ea typeface="+mn-ea"/>
                <a:cs typeface="+mn-cs"/>
              </a:defRPr>
            </a:pPr>
            <a:r>
              <a:rPr lang="es-CO">
                <a:latin typeface="Candara" panose="020E0502030303020204" pitchFamily="34" charset="0"/>
              </a:rPr>
              <a:t>Gasto de I+D de Brasil en relación al PIB</a:t>
            </a:r>
          </a:p>
        </c:rich>
      </c:tx>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cat>
            <c:numRef>
              <c:f>Hoja2!$A$1:$G$1</c:f>
              <c:numCache>
                <c:formatCode>General</c:formatCode>
                <c:ptCount val="7"/>
                <c:pt idx="0">
                  <c:v>2004</c:v>
                </c:pt>
                <c:pt idx="1">
                  <c:v>2005</c:v>
                </c:pt>
                <c:pt idx="2">
                  <c:v>2006</c:v>
                </c:pt>
                <c:pt idx="3">
                  <c:v>2007</c:v>
                </c:pt>
                <c:pt idx="4">
                  <c:v>2008</c:v>
                </c:pt>
                <c:pt idx="5">
                  <c:v>2009</c:v>
                </c:pt>
                <c:pt idx="6">
                  <c:v>2010</c:v>
                </c:pt>
              </c:numCache>
            </c:numRef>
          </c:cat>
          <c:val>
            <c:numRef>
              <c:f>Hoja2!$A$2:$G$2</c:f>
              <c:numCache>
                <c:formatCode>General</c:formatCode>
                <c:ptCount val="7"/>
                <c:pt idx="0">
                  <c:v>0.14000000000000001</c:v>
                </c:pt>
                <c:pt idx="1">
                  <c:v>0.14000000000000001</c:v>
                </c:pt>
                <c:pt idx="2">
                  <c:v>0.14000000000000001</c:v>
                </c:pt>
                <c:pt idx="3">
                  <c:v>0.15000000000000011</c:v>
                </c:pt>
                <c:pt idx="4">
                  <c:v>0.14000000000000001</c:v>
                </c:pt>
                <c:pt idx="5">
                  <c:v>0.15000000000000011</c:v>
                </c:pt>
                <c:pt idx="6">
                  <c:v>0.16</c:v>
                </c:pt>
              </c:numCache>
            </c:numRef>
          </c:val>
        </c:ser>
        <c:dLbls>
          <c:showLegendKey val="0"/>
          <c:showVal val="0"/>
          <c:showCatName val="0"/>
          <c:showSerName val="0"/>
          <c:showPercent val="0"/>
          <c:showBubbleSize val="0"/>
        </c:dLbls>
        <c:gapWidth val="219"/>
        <c:overlap val="-27"/>
        <c:axId val="577871168"/>
        <c:axId val="577874304"/>
      </c:barChart>
      <c:catAx>
        <c:axId val="5778711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andara" panose="020E0502030303020204" pitchFamily="34" charset="0"/>
                <a:ea typeface="+mn-ea"/>
                <a:cs typeface="+mn-cs"/>
              </a:defRPr>
            </a:pPr>
            <a:endParaRPr lang="es-CO"/>
          </a:p>
        </c:txPr>
        <c:crossAx val="577874304"/>
        <c:crosses val="autoZero"/>
        <c:auto val="1"/>
        <c:lblAlgn val="ctr"/>
        <c:lblOffset val="100"/>
        <c:noMultiLvlLbl val="0"/>
      </c:catAx>
      <c:valAx>
        <c:axId val="5778743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5778711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s-ES" sz="1400" b="0" i="0" u="none" strike="noStrike" kern="1200" spc="0" baseline="0">
                <a:solidFill>
                  <a:schemeClr val="tx1">
                    <a:lumMod val="65000"/>
                    <a:lumOff val="35000"/>
                  </a:schemeClr>
                </a:solidFill>
                <a:latin typeface="Candara" panose="020E0502030303020204" pitchFamily="34" charset="0"/>
                <a:ea typeface="+mn-ea"/>
                <a:cs typeface="+mn-cs"/>
              </a:defRPr>
            </a:pPr>
            <a:r>
              <a:rPr lang="es-CO" sz="1400" b="0" i="0" baseline="0">
                <a:effectLst/>
                <a:latin typeface="Candara" panose="020E0502030303020204" pitchFamily="34" charset="0"/>
              </a:rPr>
              <a:t>Gasto en I+D de Francia en relación al PIB</a:t>
            </a:r>
            <a:endParaRPr lang="es-CO" sz="1400">
              <a:effectLst/>
              <a:latin typeface="Candara" panose="020E0502030303020204" pitchFamily="34" charset="0"/>
            </a:endParaRPr>
          </a:p>
        </c:rich>
      </c:tx>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cat>
            <c:strRef>
              <c:f>'[191000011x1t005.xls]English'!$C$56:$J$56</c:f>
              <c:strCache>
                <c:ptCount val="8"/>
                <c:pt idx="0">
                  <c:v>2004</c:v>
                </c:pt>
                <c:pt idx="1">
                  <c:v>2005</c:v>
                </c:pt>
                <c:pt idx="2">
                  <c:v>2006</c:v>
                </c:pt>
                <c:pt idx="3">
                  <c:v>2007</c:v>
                </c:pt>
                <c:pt idx="4">
                  <c:v>2008</c:v>
                </c:pt>
                <c:pt idx="5">
                  <c:v>2009</c:v>
                </c:pt>
                <c:pt idx="6">
                  <c:v>2010</c:v>
                </c:pt>
                <c:pt idx="7">
                  <c:v>2011</c:v>
                </c:pt>
              </c:strCache>
            </c:strRef>
          </c:cat>
          <c:val>
            <c:numRef>
              <c:f>'[191000011x1t005.xls]English'!$C$57:$J$57</c:f>
            </c:numRef>
          </c:val>
        </c:ser>
        <c:ser>
          <c:idx val="2"/>
          <c:order val="1"/>
          <c:spPr>
            <a:solidFill>
              <a:schemeClr val="accent1"/>
            </a:solidFill>
            <a:ln>
              <a:solidFill>
                <a:schemeClr val="accent1"/>
              </a:solidFill>
            </a:ln>
            <a:effectLst/>
          </c:spPr>
          <c:invertIfNegative val="0"/>
          <c:cat>
            <c:strRef>
              <c:f>'[191000011x1t005.xls]English'!$C$56:$J$56</c:f>
              <c:strCache>
                <c:ptCount val="8"/>
                <c:pt idx="0">
                  <c:v>2004</c:v>
                </c:pt>
                <c:pt idx="1">
                  <c:v>2005</c:v>
                </c:pt>
                <c:pt idx="2">
                  <c:v>2006</c:v>
                </c:pt>
                <c:pt idx="3">
                  <c:v>2007</c:v>
                </c:pt>
                <c:pt idx="4">
                  <c:v>2008</c:v>
                </c:pt>
                <c:pt idx="5">
                  <c:v>2009</c:v>
                </c:pt>
                <c:pt idx="6">
                  <c:v>2010</c:v>
                </c:pt>
                <c:pt idx="7">
                  <c:v>2011</c:v>
                </c:pt>
              </c:strCache>
            </c:strRef>
          </c:cat>
          <c:val>
            <c:numRef>
              <c:f>'[191000011x1t005.xls]English'!$C$59:$J$59</c:f>
              <c:numCache>
                <c:formatCode>##0.00;\-##0.00;0.00;</c:formatCode>
                <c:ptCount val="8"/>
                <c:pt idx="0">
                  <c:v>2.1559080163008377</c:v>
                </c:pt>
                <c:pt idx="1">
                  <c:v>2.1086524229369301</c:v>
                </c:pt>
                <c:pt idx="2">
                  <c:v>2.1080086550389798</c:v>
                </c:pt>
                <c:pt idx="3">
                  <c:v>2.0830639431134399</c:v>
                </c:pt>
                <c:pt idx="4">
                  <c:v>2.1242721401617501</c:v>
                </c:pt>
                <c:pt idx="5">
                  <c:v>2.2714899378129698</c:v>
                </c:pt>
                <c:pt idx="6">
                  <c:v>2.2395915527128447</c:v>
                </c:pt>
                <c:pt idx="7">
                  <c:v>2.2499167290162601</c:v>
                </c:pt>
              </c:numCache>
            </c:numRef>
          </c:val>
        </c:ser>
        <c:dLbls>
          <c:showLegendKey val="0"/>
          <c:showVal val="0"/>
          <c:showCatName val="0"/>
          <c:showSerName val="0"/>
          <c:showPercent val="0"/>
          <c:showBubbleSize val="0"/>
        </c:dLbls>
        <c:gapWidth val="219"/>
        <c:overlap val="-27"/>
        <c:axId val="663846776"/>
        <c:axId val="663847560"/>
      </c:barChart>
      <c:catAx>
        <c:axId val="6638467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s-ES" sz="900" b="0" i="0" u="none" strike="noStrike" kern="1200" baseline="0">
                <a:solidFill>
                  <a:schemeClr val="tx1">
                    <a:lumMod val="65000"/>
                    <a:lumOff val="35000"/>
                  </a:schemeClr>
                </a:solidFill>
                <a:latin typeface="Candara" panose="020E0502030303020204" pitchFamily="34" charset="0"/>
                <a:ea typeface="+mn-ea"/>
                <a:cs typeface="+mn-cs"/>
              </a:defRPr>
            </a:pPr>
            <a:endParaRPr lang="es-CO"/>
          </a:p>
        </c:txPr>
        <c:crossAx val="663847560"/>
        <c:crosses val="autoZero"/>
        <c:auto val="1"/>
        <c:lblAlgn val="ctr"/>
        <c:lblOffset val="100"/>
        <c:noMultiLvlLbl val="0"/>
      </c:catAx>
      <c:valAx>
        <c:axId val="663847560"/>
        <c:scaling>
          <c:orientation val="minMax"/>
        </c:scaling>
        <c:delete val="0"/>
        <c:axPos val="l"/>
        <c:majorGridlines>
          <c:spPr>
            <a:ln w="9525" cap="flat" cmpd="sng" algn="ctr">
              <a:solidFill>
                <a:schemeClr val="tx1">
                  <a:lumMod val="15000"/>
                  <a:lumOff val="85000"/>
                </a:schemeClr>
              </a:solidFill>
              <a:round/>
            </a:ln>
            <a:effectLst/>
          </c:spPr>
        </c:majorGridlines>
        <c:numFmt formatCode="##0.00;\-##0.00;0.00;" sourceLinked="1"/>
        <c:majorTickMark val="none"/>
        <c:minorTickMark val="none"/>
        <c:tickLblPos val="nextTo"/>
        <c:spPr>
          <a:noFill/>
          <a:ln>
            <a:noFill/>
          </a:ln>
          <a:effectLst/>
        </c:spPr>
        <c:txPr>
          <a:bodyPr rot="-60000000" spcFirstLastPara="1" vertOverflow="ellipsis" vert="horz" wrap="square" anchor="ctr" anchorCtr="1"/>
          <a:lstStyle/>
          <a:p>
            <a:pPr>
              <a:defRPr lang="es-ES" sz="900" b="0" i="0" u="none" strike="noStrike" kern="1200" baseline="0">
                <a:solidFill>
                  <a:schemeClr val="tx1">
                    <a:lumMod val="65000"/>
                    <a:lumOff val="35000"/>
                  </a:schemeClr>
                </a:solidFill>
                <a:latin typeface="+mn-lt"/>
                <a:ea typeface="+mn-ea"/>
                <a:cs typeface="+mn-cs"/>
              </a:defRPr>
            </a:pPr>
            <a:endParaRPr lang="es-CO"/>
          </a:p>
        </c:txPr>
        <c:crossAx val="6638467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s-ES" sz="1400" b="0" i="0" u="none" strike="noStrike" kern="1200" spc="0" baseline="0">
                <a:solidFill>
                  <a:schemeClr val="tx1">
                    <a:lumMod val="65000"/>
                    <a:lumOff val="35000"/>
                  </a:schemeClr>
                </a:solidFill>
                <a:latin typeface="Candara" panose="020E0502030303020204" pitchFamily="34" charset="0"/>
                <a:ea typeface="+mn-ea"/>
                <a:cs typeface="+mn-cs"/>
              </a:defRPr>
            </a:pPr>
            <a:r>
              <a:rPr lang="es-CO">
                <a:latin typeface="Candara" panose="020E0502030303020204" pitchFamily="34" charset="0"/>
              </a:rPr>
              <a:t>Creación de </a:t>
            </a:r>
            <a:r>
              <a:rPr lang="es-CO" i="1">
                <a:latin typeface="Candara" panose="020E0502030303020204" pitchFamily="34" charset="0"/>
              </a:rPr>
              <a:t>Spin-Off</a:t>
            </a:r>
            <a:r>
              <a:rPr lang="es-CO" i="1" baseline="0">
                <a:latin typeface="Candara" panose="020E0502030303020204" pitchFamily="34" charset="0"/>
              </a:rPr>
              <a:t> </a:t>
            </a:r>
            <a:r>
              <a:rPr lang="es-CO" i="0" baseline="0">
                <a:latin typeface="Candara" panose="020E0502030303020204" pitchFamily="34" charset="0"/>
              </a:rPr>
              <a:t>en España</a:t>
            </a:r>
            <a:endParaRPr lang="es-CO">
              <a:latin typeface="Candara" panose="020E0502030303020204" pitchFamily="34" charset="0"/>
            </a:endParaRPr>
          </a:p>
        </c:rich>
      </c:tx>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cat>
            <c:strRef>
              <c:f>Hoja1!$A$2:$A$12</c:f>
              <c:strCache>
                <c:ptCount val="11"/>
                <c:pt idx="0">
                  <c:v>Antes 2000</c:v>
                </c:pt>
                <c:pt idx="1">
                  <c:v>2001</c:v>
                </c:pt>
                <c:pt idx="2">
                  <c:v>2002</c:v>
                </c:pt>
                <c:pt idx="3">
                  <c:v>2003</c:v>
                </c:pt>
                <c:pt idx="4">
                  <c:v>2004</c:v>
                </c:pt>
                <c:pt idx="5">
                  <c:v>2005</c:v>
                </c:pt>
                <c:pt idx="6">
                  <c:v>2006</c:v>
                </c:pt>
                <c:pt idx="7">
                  <c:v>2007</c:v>
                </c:pt>
                <c:pt idx="8">
                  <c:v>2008</c:v>
                </c:pt>
                <c:pt idx="9">
                  <c:v>2009</c:v>
                </c:pt>
                <c:pt idx="10">
                  <c:v>2010</c:v>
                </c:pt>
              </c:strCache>
            </c:strRef>
          </c:cat>
          <c:val>
            <c:numRef>
              <c:f>Hoja1!$B$2:$B$12</c:f>
              <c:numCache>
                <c:formatCode>General</c:formatCode>
                <c:ptCount val="11"/>
                <c:pt idx="0">
                  <c:v>18</c:v>
                </c:pt>
                <c:pt idx="1">
                  <c:v>39</c:v>
                </c:pt>
                <c:pt idx="2">
                  <c:v>65</c:v>
                </c:pt>
                <c:pt idx="3">
                  <c:v>87</c:v>
                </c:pt>
                <c:pt idx="4">
                  <c:v>90</c:v>
                </c:pt>
                <c:pt idx="5">
                  <c:v>88</c:v>
                </c:pt>
                <c:pt idx="6">
                  <c:v>143</c:v>
                </c:pt>
                <c:pt idx="7">
                  <c:v>120</c:v>
                </c:pt>
                <c:pt idx="8">
                  <c:v>100</c:v>
                </c:pt>
                <c:pt idx="9">
                  <c:v>118</c:v>
                </c:pt>
                <c:pt idx="10">
                  <c:v>131</c:v>
                </c:pt>
              </c:numCache>
            </c:numRef>
          </c:val>
        </c:ser>
        <c:dLbls>
          <c:showLegendKey val="0"/>
          <c:showVal val="0"/>
          <c:showCatName val="0"/>
          <c:showSerName val="0"/>
          <c:showPercent val="0"/>
          <c:showBubbleSize val="0"/>
        </c:dLbls>
        <c:gapWidth val="219"/>
        <c:overlap val="-27"/>
        <c:axId val="663847952"/>
        <c:axId val="663845208"/>
      </c:barChart>
      <c:catAx>
        <c:axId val="6638479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s-ES" sz="900" b="0" i="0" u="none" strike="noStrike" kern="1200" baseline="0">
                <a:solidFill>
                  <a:schemeClr val="tx1">
                    <a:lumMod val="65000"/>
                    <a:lumOff val="35000"/>
                  </a:schemeClr>
                </a:solidFill>
                <a:latin typeface="Candara" panose="020E0502030303020204" pitchFamily="34" charset="0"/>
                <a:ea typeface="+mn-ea"/>
                <a:cs typeface="+mn-cs"/>
              </a:defRPr>
            </a:pPr>
            <a:endParaRPr lang="es-CO"/>
          </a:p>
        </c:txPr>
        <c:crossAx val="663845208"/>
        <c:crosses val="autoZero"/>
        <c:auto val="1"/>
        <c:lblAlgn val="ctr"/>
        <c:lblOffset val="100"/>
        <c:noMultiLvlLbl val="0"/>
      </c:catAx>
      <c:valAx>
        <c:axId val="6638452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es-ES" sz="900" b="0" i="0" u="none" strike="noStrike" kern="1200" baseline="0">
                <a:solidFill>
                  <a:schemeClr val="tx1">
                    <a:lumMod val="65000"/>
                    <a:lumOff val="35000"/>
                  </a:schemeClr>
                </a:solidFill>
                <a:latin typeface="+mn-lt"/>
                <a:ea typeface="+mn-ea"/>
                <a:cs typeface="+mn-cs"/>
              </a:defRPr>
            </a:pPr>
            <a:endParaRPr lang="es-CO"/>
          </a:p>
        </c:txPr>
        <c:crossAx val="6638479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s-ES" sz="1400" b="0" i="0" u="none" strike="noStrike" kern="1200" spc="0" baseline="0">
                <a:solidFill>
                  <a:schemeClr val="tx1">
                    <a:lumMod val="65000"/>
                    <a:lumOff val="35000"/>
                  </a:schemeClr>
                </a:solidFill>
                <a:latin typeface="Candara" panose="020E0502030303020204" pitchFamily="34" charset="0"/>
                <a:ea typeface="+mn-ea"/>
                <a:cs typeface="+mn-cs"/>
              </a:defRPr>
            </a:pPr>
            <a:r>
              <a:rPr lang="es-CO" sz="1400" b="0" i="0" baseline="0">
                <a:effectLst/>
                <a:latin typeface="Candara" panose="020E0502030303020204" pitchFamily="34" charset="0"/>
              </a:rPr>
              <a:t>Gasto en I+D de España en relación al PIB</a:t>
            </a:r>
            <a:endParaRPr lang="es-CO" sz="1100">
              <a:effectLst/>
              <a:latin typeface="Candara" panose="020E0502030303020204" pitchFamily="34" charset="0"/>
            </a:endParaRPr>
          </a:p>
        </c:rich>
      </c:tx>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cat>
            <c:strRef>
              <c:f>'[191000011x1t005.xls]English'!$C$56:$J$56</c:f>
              <c:strCache>
                <c:ptCount val="8"/>
                <c:pt idx="0">
                  <c:v>2004</c:v>
                </c:pt>
                <c:pt idx="1">
                  <c:v>2005</c:v>
                </c:pt>
                <c:pt idx="2">
                  <c:v>2006</c:v>
                </c:pt>
                <c:pt idx="3">
                  <c:v>2007</c:v>
                </c:pt>
                <c:pt idx="4">
                  <c:v>2008</c:v>
                </c:pt>
                <c:pt idx="5">
                  <c:v>2009</c:v>
                </c:pt>
                <c:pt idx="6">
                  <c:v>2010</c:v>
                </c:pt>
                <c:pt idx="7">
                  <c:v>2011</c:v>
                </c:pt>
              </c:strCache>
            </c:strRef>
          </c:cat>
          <c:val>
            <c:numRef>
              <c:f>'[191000011x1t005.xls]English'!$C$57:$J$57</c:f>
            </c:numRef>
          </c:val>
        </c:ser>
        <c:ser>
          <c:idx val="1"/>
          <c:order val="1"/>
          <c:spPr>
            <a:solidFill>
              <a:schemeClr val="accent1"/>
            </a:solidFill>
            <a:ln>
              <a:noFill/>
            </a:ln>
            <a:effectLst/>
          </c:spPr>
          <c:invertIfNegative val="0"/>
          <c:cat>
            <c:strRef>
              <c:f>'[191000011x1t005.xls]English'!$C$56:$J$56</c:f>
              <c:strCache>
                <c:ptCount val="8"/>
                <c:pt idx="0">
                  <c:v>2004</c:v>
                </c:pt>
                <c:pt idx="1">
                  <c:v>2005</c:v>
                </c:pt>
                <c:pt idx="2">
                  <c:v>2006</c:v>
                </c:pt>
                <c:pt idx="3">
                  <c:v>2007</c:v>
                </c:pt>
                <c:pt idx="4">
                  <c:v>2008</c:v>
                </c:pt>
                <c:pt idx="5">
                  <c:v>2009</c:v>
                </c:pt>
                <c:pt idx="6">
                  <c:v>2010</c:v>
                </c:pt>
                <c:pt idx="7">
                  <c:v>2011</c:v>
                </c:pt>
              </c:strCache>
            </c:strRef>
          </c:cat>
          <c:val>
            <c:numRef>
              <c:f>'[191000011x1t005.xls]English'!$C$58:$J$58</c:f>
              <c:numCache>
                <c:formatCode>##0.00;\-##0.00;0.00;</c:formatCode>
                <c:ptCount val="8"/>
                <c:pt idx="0">
                  <c:v>1.0633335076679498</c:v>
                </c:pt>
                <c:pt idx="1">
                  <c:v>1.1214003549991298</c:v>
                </c:pt>
                <c:pt idx="2">
                  <c:v>1.19884875099818</c:v>
                </c:pt>
                <c:pt idx="3">
                  <c:v>1.2668880256674899</c:v>
                </c:pt>
                <c:pt idx="4">
                  <c:v>1.3514943169073359</c:v>
                </c:pt>
                <c:pt idx="5">
                  <c:v>1.3913016144113899</c:v>
                </c:pt>
                <c:pt idx="6">
                  <c:v>1.3908562728159399</c:v>
                </c:pt>
                <c:pt idx="7">
                  <c:v>1.33391902045883</c:v>
                </c:pt>
              </c:numCache>
            </c:numRef>
          </c:val>
        </c:ser>
        <c:dLbls>
          <c:showLegendKey val="0"/>
          <c:showVal val="0"/>
          <c:showCatName val="0"/>
          <c:showSerName val="0"/>
          <c:showPercent val="0"/>
          <c:showBubbleSize val="0"/>
        </c:dLbls>
        <c:gapWidth val="219"/>
        <c:overlap val="-27"/>
        <c:axId val="663844816"/>
        <c:axId val="663846384"/>
      </c:barChart>
      <c:catAx>
        <c:axId val="6638448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s-ES" sz="900" b="0" i="0" u="none" strike="noStrike" kern="1200" baseline="0">
                <a:solidFill>
                  <a:schemeClr val="tx1">
                    <a:lumMod val="65000"/>
                    <a:lumOff val="35000"/>
                  </a:schemeClr>
                </a:solidFill>
                <a:latin typeface="Candara" panose="020E0502030303020204" pitchFamily="34" charset="0"/>
                <a:ea typeface="+mn-ea"/>
                <a:cs typeface="+mn-cs"/>
              </a:defRPr>
            </a:pPr>
            <a:endParaRPr lang="es-CO"/>
          </a:p>
        </c:txPr>
        <c:crossAx val="663846384"/>
        <c:crosses val="autoZero"/>
        <c:auto val="1"/>
        <c:lblAlgn val="ctr"/>
        <c:lblOffset val="100"/>
        <c:noMultiLvlLbl val="0"/>
      </c:catAx>
      <c:valAx>
        <c:axId val="663846384"/>
        <c:scaling>
          <c:orientation val="minMax"/>
        </c:scaling>
        <c:delete val="0"/>
        <c:axPos val="l"/>
        <c:majorGridlines>
          <c:spPr>
            <a:ln w="9525" cap="flat" cmpd="sng" algn="ctr">
              <a:solidFill>
                <a:schemeClr val="tx1">
                  <a:lumMod val="15000"/>
                  <a:lumOff val="85000"/>
                </a:schemeClr>
              </a:solidFill>
              <a:round/>
            </a:ln>
            <a:effectLst/>
          </c:spPr>
        </c:majorGridlines>
        <c:numFmt formatCode="##0.00;\-##0.00;0.00;" sourceLinked="1"/>
        <c:majorTickMark val="none"/>
        <c:minorTickMark val="none"/>
        <c:tickLblPos val="nextTo"/>
        <c:spPr>
          <a:noFill/>
          <a:ln>
            <a:noFill/>
          </a:ln>
          <a:effectLst/>
        </c:spPr>
        <c:txPr>
          <a:bodyPr rot="-60000000" spcFirstLastPara="1" vertOverflow="ellipsis" vert="horz" wrap="square" anchor="ctr" anchorCtr="1"/>
          <a:lstStyle/>
          <a:p>
            <a:pPr>
              <a:defRPr lang="es-ES" sz="900" b="0" i="0" u="none" strike="noStrike" kern="1200" baseline="0">
                <a:solidFill>
                  <a:schemeClr val="tx1">
                    <a:lumMod val="65000"/>
                    <a:lumOff val="35000"/>
                  </a:schemeClr>
                </a:solidFill>
                <a:latin typeface="+mn-lt"/>
                <a:ea typeface="+mn-ea"/>
                <a:cs typeface="+mn-cs"/>
              </a:defRPr>
            </a:pPr>
            <a:endParaRPr lang="es-CO"/>
          </a:p>
        </c:txPr>
        <c:crossAx val="6638448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Candara" panose="020E0502030303020204" pitchFamily="34" charset="0"/>
                <a:ea typeface="+mn-ea"/>
                <a:cs typeface="+mn-cs"/>
              </a:defRPr>
            </a:pPr>
            <a:r>
              <a:rPr lang="es-CO">
                <a:latin typeface="Candara" panose="020E0502030303020204" pitchFamily="34" charset="0"/>
              </a:rPr>
              <a:t>Gasto de I+D de Colombia en relación al PIB</a:t>
            </a:r>
          </a:p>
        </c:rich>
      </c:tx>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cat>
            <c:numRef>
              <c:f>Hoja2!$A$1:$G$1</c:f>
              <c:numCache>
                <c:formatCode>General</c:formatCode>
                <c:ptCount val="7"/>
                <c:pt idx="0">
                  <c:v>2004</c:v>
                </c:pt>
                <c:pt idx="1">
                  <c:v>2005</c:v>
                </c:pt>
                <c:pt idx="2">
                  <c:v>2006</c:v>
                </c:pt>
                <c:pt idx="3">
                  <c:v>2007</c:v>
                </c:pt>
                <c:pt idx="4">
                  <c:v>2008</c:v>
                </c:pt>
                <c:pt idx="5">
                  <c:v>2009</c:v>
                </c:pt>
                <c:pt idx="6">
                  <c:v>2010</c:v>
                </c:pt>
              </c:numCache>
            </c:numRef>
          </c:cat>
          <c:val>
            <c:numRef>
              <c:f>Hoja2!$A$2:$G$2</c:f>
              <c:numCache>
                <c:formatCode>General</c:formatCode>
                <c:ptCount val="7"/>
                <c:pt idx="0">
                  <c:v>0.14000000000000001</c:v>
                </c:pt>
                <c:pt idx="1">
                  <c:v>0.14000000000000001</c:v>
                </c:pt>
                <c:pt idx="2">
                  <c:v>0.14000000000000001</c:v>
                </c:pt>
                <c:pt idx="3">
                  <c:v>0.15000000000000011</c:v>
                </c:pt>
                <c:pt idx="4">
                  <c:v>0.14000000000000001</c:v>
                </c:pt>
                <c:pt idx="5">
                  <c:v>0.15000000000000011</c:v>
                </c:pt>
                <c:pt idx="6">
                  <c:v>0.16</c:v>
                </c:pt>
              </c:numCache>
            </c:numRef>
          </c:val>
        </c:ser>
        <c:dLbls>
          <c:showLegendKey val="0"/>
          <c:showVal val="0"/>
          <c:showCatName val="0"/>
          <c:showSerName val="0"/>
          <c:showPercent val="0"/>
          <c:showBubbleSize val="0"/>
        </c:dLbls>
        <c:gapWidth val="219"/>
        <c:overlap val="-27"/>
        <c:axId val="667973136"/>
        <c:axId val="667975880"/>
      </c:barChart>
      <c:catAx>
        <c:axId val="6679731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andara" panose="020E0502030303020204" pitchFamily="34" charset="0"/>
                <a:ea typeface="+mn-ea"/>
                <a:cs typeface="+mn-cs"/>
              </a:defRPr>
            </a:pPr>
            <a:endParaRPr lang="es-CO"/>
          </a:p>
        </c:txPr>
        <c:crossAx val="667975880"/>
        <c:crosses val="autoZero"/>
        <c:auto val="1"/>
        <c:lblAlgn val="ctr"/>
        <c:lblOffset val="100"/>
        <c:noMultiLvlLbl val="0"/>
      </c:catAx>
      <c:valAx>
        <c:axId val="6679758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6679731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1">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2A534A0-B185-4268-B6AE-1B3B1B8EC4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TotalTime>
  <Pages>91</Pages>
  <Words>70125</Words>
  <Characters>385692</Characters>
  <Application>Microsoft Office Word</Application>
  <DocSecurity>0</DocSecurity>
  <Lines>3214</Lines>
  <Paragraphs>909</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454908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Ospina Sanchez</dc:creator>
  <cp:lastModifiedBy>ELIANA GALLEGO CORTES</cp:lastModifiedBy>
  <cp:revision>1</cp:revision>
  <cp:lastPrinted>2014-01-17T13:26:00Z</cp:lastPrinted>
  <dcterms:created xsi:type="dcterms:W3CDTF">2014-04-01T04:23:00Z</dcterms:created>
  <dcterms:modified xsi:type="dcterms:W3CDTF">2019-05-27T18:44:00Z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ser Name_1">
    <vt:lpwstr>nestoraulospina@gmail.com@www.mendeley.com</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(AMA)</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(author-date)</vt:lpwstr>
  </property>
  <property fmtid="{D5CDD505-2E9C-101B-9397-08002B2CF9AE}" pid="15" name="Mendeley Recent Style Id 5_1">
    <vt:lpwstr>http://www.zotero.org/styles/harvard1</vt:lpwstr>
  </property>
  <property fmtid="{D5CDD505-2E9C-101B-9397-08002B2CF9AE}" pid="16" name="Mendeley Recent Style Name 5_1">
    <vt:lpwstr>Harvard Reference format 1 (author-date)</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