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14" w:rsidRDefault="00EC4EE7" w:rsidP="00971951">
      <w:pPr>
        <w:jc w:val="center"/>
        <w:rPr>
          <w:rFonts w:ascii="Times New Roman" w:hAnsi="Times New Roman" w:cs="Times New Roman"/>
          <w:sz w:val="28"/>
          <w:szCs w:val="28"/>
        </w:rPr>
      </w:pPr>
      <w:bookmarkStart w:id="0" w:name="_GoBack"/>
      <w:r>
        <w:rPr>
          <w:rFonts w:ascii="Times New Roman" w:hAnsi="Times New Roman" w:cs="Times New Roman"/>
          <w:sz w:val="28"/>
          <w:szCs w:val="28"/>
        </w:rPr>
        <w:t>Venezuela: Antes que conspiración extranjera, pésima política interna</w:t>
      </w:r>
    </w:p>
    <w:p w:rsidR="00D3311A" w:rsidRDefault="00D3311A" w:rsidP="00D3311A">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Remberto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Rhenals</w:t>
      </w:r>
      <w:proofErr w:type="spellEnd"/>
      <w:r>
        <w:rPr>
          <w:rFonts w:ascii="Times New Roman" w:hAnsi="Times New Roman" w:cs="Times New Roman"/>
          <w:sz w:val="28"/>
          <w:szCs w:val="28"/>
        </w:rPr>
        <w:t xml:space="preserve"> M.</w:t>
      </w:r>
    </w:p>
    <w:p w:rsidR="00D3311A" w:rsidRDefault="00D3311A" w:rsidP="00D3311A">
      <w:pPr>
        <w:spacing w:after="0"/>
        <w:jc w:val="right"/>
        <w:rPr>
          <w:rFonts w:ascii="Times New Roman" w:hAnsi="Times New Roman" w:cs="Times New Roman"/>
          <w:sz w:val="28"/>
          <w:szCs w:val="28"/>
        </w:rPr>
      </w:pPr>
      <w:r>
        <w:rPr>
          <w:rFonts w:ascii="Times New Roman" w:hAnsi="Times New Roman" w:cs="Times New Roman"/>
          <w:sz w:val="28"/>
          <w:szCs w:val="28"/>
        </w:rPr>
        <w:t xml:space="preserve">Jaime Montoya </w:t>
      </w:r>
      <w:proofErr w:type="spellStart"/>
      <w:r>
        <w:rPr>
          <w:rFonts w:ascii="Times New Roman" w:hAnsi="Times New Roman" w:cs="Times New Roman"/>
          <w:sz w:val="28"/>
          <w:szCs w:val="28"/>
        </w:rPr>
        <w:t>Arbelaéz</w:t>
      </w:r>
      <w:proofErr w:type="spellEnd"/>
    </w:p>
    <w:p w:rsidR="00D3311A" w:rsidRPr="006C5714" w:rsidRDefault="00D3311A" w:rsidP="00D3311A">
      <w:pPr>
        <w:jc w:val="right"/>
        <w:rPr>
          <w:rFonts w:ascii="Times New Roman" w:hAnsi="Times New Roman" w:cs="Times New Roman"/>
          <w:sz w:val="28"/>
          <w:szCs w:val="28"/>
        </w:rPr>
      </w:pPr>
      <w:r>
        <w:rPr>
          <w:rFonts w:ascii="Times New Roman" w:hAnsi="Times New Roman" w:cs="Times New Roman"/>
          <w:sz w:val="28"/>
          <w:szCs w:val="28"/>
        </w:rPr>
        <w:t xml:space="preserve">Facultad de Ciencias Económicas  </w:t>
      </w:r>
    </w:p>
    <w:p w:rsidR="004326D4" w:rsidRDefault="004326D4" w:rsidP="004326D4">
      <w:pPr>
        <w:jc w:val="both"/>
        <w:rPr>
          <w:rFonts w:ascii="Times New Roman" w:hAnsi="Times New Roman" w:cs="Times New Roman"/>
          <w:sz w:val="28"/>
          <w:szCs w:val="28"/>
        </w:rPr>
      </w:pPr>
      <w:r w:rsidRPr="001835DB">
        <w:rPr>
          <w:rFonts w:ascii="Times New Roman" w:hAnsi="Times New Roman" w:cs="Times New Roman"/>
          <w:sz w:val="28"/>
          <w:szCs w:val="28"/>
        </w:rPr>
        <w:t>La falta de efectivo, una severa escasez de alimentos y medicinas y una inflación</w:t>
      </w:r>
      <w:r w:rsidRPr="001835DB">
        <w:rPr>
          <w:rFonts w:ascii="Times New Roman" w:hAnsi="Times New Roman" w:cs="Times New Roman"/>
          <w:b/>
          <w:bCs/>
          <w:sz w:val="28"/>
          <w:szCs w:val="28"/>
        </w:rPr>
        <w:t xml:space="preserve"> </w:t>
      </w:r>
      <w:r w:rsidRPr="00C728BA">
        <w:rPr>
          <w:rFonts w:ascii="Times New Roman" w:hAnsi="Times New Roman" w:cs="Times New Roman"/>
          <w:bCs/>
          <w:sz w:val="28"/>
          <w:szCs w:val="28"/>
        </w:rPr>
        <w:t xml:space="preserve">de tres dígitos son algunos de los males que padecen los </w:t>
      </w:r>
      <w:r>
        <w:rPr>
          <w:rFonts w:ascii="Times New Roman" w:hAnsi="Times New Roman" w:cs="Times New Roman"/>
          <w:bCs/>
          <w:sz w:val="28"/>
          <w:szCs w:val="28"/>
        </w:rPr>
        <w:t>venezolanos</w:t>
      </w:r>
      <w:r w:rsidRPr="001835DB">
        <w:rPr>
          <w:rFonts w:ascii="Times New Roman" w:hAnsi="Times New Roman" w:cs="Times New Roman"/>
          <w:sz w:val="28"/>
          <w:szCs w:val="28"/>
        </w:rPr>
        <w:t>. E</w:t>
      </w:r>
      <w:r w:rsidR="001E61EA">
        <w:rPr>
          <w:rFonts w:ascii="Times New Roman" w:hAnsi="Times New Roman" w:cs="Times New Roman"/>
          <w:sz w:val="28"/>
          <w:szCs w:val="28"/>
        </w:rPr>
        <w:t xml:space="preserve">l </w:t>
      </w:r>
      <w:r w:rsidRPr="001835DB">
        <w:rPr>
          <w:rFonts w:ascii="Times New Roman" w:hAnsi="Times New Roman" w:cs="Times New Roman"/>
          <w:sz w:val="28"/>
          <w:szCs w:val="28"/>
        </w:rPr>
        <w:t xml:space="preserve">cierre </w:t>
      </w:r>
      <w:r w:rsidR="001E61EA">
        <w:rPr>
          <w:rFonts w:ascii="Times New Roman" w:hAnsi="Times New Roman" w:cs="Times New Roman"/>
          <w:sz w:val="28"/>
          <w:szCs w:val="28"/>
        </w:rPr>
        <w:t xml:space="preserve">fronterizo </w:t>
      </w:r>
      <w:r w:rsidRPr="001835DB">
        <w:rPr>
          <w:rFonts w:ascii="Times New Roman" w:hAnsi="Times New Roman" w:cs="Times New Roman"/>
          <w:sz w:val="28"/>
          <w:szCs w:val="28"/>
        </w:rPr>
        <w:t>solo agudiza la situación del país y el descontento de sus habitantes en época de navidad</w:t>
      </w:r>
      <w:r w:rsidR="001E61EA">
        <w:rPr>
          <w:rFonts w:ascii="Times New Roman" w:hAnsi="Times New Roman" w:cs="Times New Roman"/>
          <w:sz w:val="28"/>
          <w:szCs w:val="28"/>
        </w:rPr>
        <w:t xml:space="preserve">, reza una información de prensa a raíz de la nueva medida tomada el pasado 12 de diciembre de 2016 por el Gobierno venezolano. </w:t>
      </w:r>
    </w:p>
    <w:p w:rsidR="009B73F5" w:rsidRDefault="000827BF" w:rsidP="006C5714">
      <w:pPr>
        <w:jc w:val="both"/>
        <w:rPr>
          <w:rFonts w:ascii="Times New Roman" w:hAnsi="Times New Roman" w:cs="Times New Roman"/>
          <w:sz w:val="28"/>
          <w:szCs w:val="28"/>
        </w:rPr>
      </w:pPr>
      <w:r>
        <w:rPr>
          <w:rFonts w:ascii="Times New Roman" w:hAnsi="Times New Roman" w:cs="Times New Roman"/>
          <w:sz w:val="28"/>
          <w:szCs w:val="28"/>
        </w:rPr>
        <w:t>Las dictaduras y las democracias totalitarias, de izquierda o d</w:t>
      </w:r>
      <w:r w:rsidR="00BA7FD6">
        <w:rPr>
          <w:rFonts w:ascii="Times New Roman" w:hAnsi="Times New Roman" w:cs="Times New Roman"/>
          <w:sz w:val="28"/>
          <w:szCs w:val="28"/>
        </w:rPr>
        <w:t xml:space="preserve">e derecha, recurren usualmente a la existencia de </w:t>
      </w:r>
      <w:r>
        <w:rPr>
          <w:rFonts w:ascii="Times New Roman" w:hAnsi="Times New Roman" w:cs="Times New Roman"/>
          <w:sz w:val="28"/>
          <w:szCs w:val="28"/>
        </w:rPr>
        <w:t xml:space="preserve">conspiraciones externas para </w:t>
      </w:r>
      <w:r w:rsidR="00137A46">
        <w:rPr>
          <w:rFonts w:ascii="Times New Roman" w:hAnsi="Times New Roman" w:cs="Times New Roman"/>
          <w:sz w:val="28"/>
          <w:szCs w:val="28"/>
        </w:rPr>
        <w:t xml:space="preserve">explicar </w:t>
      </w:r>
      <w:r>
        <w:rPr>
          <w:rFonts w:ascii="Times New Roman" w:hAnsi="Times New Roman" w:cs="Times New Roman"/>
          <w:sz w:val="28"/>
          <w:szCs w:val="28"/>
        </w:rPr>
        <w:t>las crisis económicas</w:t>
      </w:r>
      <w:r w:rsidR="000A5D33">
        <w:rPr>
          <w:rFonts w:ascii="Times New Roman" w:hAnsi="Times New Roman" w:cs="Times New Roman"/>
          <w:sz w:val="28"/>
          <w:szCs w:val="28"/>
        </w:rPr>
        <w:t>, políticas</w:t>
      </w:r>
      <w:r>
        <w:rPr>
          <w:rFonts w:ascii="Times New Roman" w:hAnsi="Times New Roman" w:cs="Times New Roman"/>
          <w:sz w:val="28"/>
          <w:szCs w:val="28"/>
        </w:rPr>
        <w:t xml:space="preserve"> y sociales de sus países. </w:t>
      </w:r>
      <w:r w:rsidR="00BA38C2">
        <w:rPr>
          <w:rFonts w:ascii="Times New Roman" w:hAnsi="Times New Roman" w:cs="Times New Roman"/>
          <w:sz w:val="28"/>
          <w:szCs w:val="28"/>
        </w:rPr>
        <w:t>En consecuencia, no deben extrañar las recurrentes alusiones a estas conspiraciones que caracterizan al régimen bolivariano venezolano.</w:t>
      </w:r>
      <w:r w:rsidR="00B952BB">
        <w:rPr>
          <w:rFonts w:ascii="Times New Roman" w:hAnsi="Times New Roman" w:cs="Times New Roman"/>
          <w:sz w:val="28"/>
          <w:szCs w:val="28"/>
        </w:rPr>
        <w:t xml:space="preserve"> De hecho, en los dos o tres últimos años, el Presidente Maduro ha cerrado la frontera </w:t>
      </w:r>
      <w:r w:rsidR="009B73F5">
        <w:rPr>
          <w:rFonts w:ascii="Times New Roman" w:hAnsi="Times New Roman" w:cs="Times New Roman"/>
          <w:sz w:val="28"/>
          <w:szCs w:val="28"/>
        </w:rPr>
        <w:t>colombo-</w:t>
      </w:r>
      <w:r w:rsidR="00B952BB">
        <w:rPr>
          <w:rFonts w:ascii="Times New Roman" w:hAnsi="Times New Roman" w:cs="Times New Roman"/>
          <w:sz w:val="28"/>
          <w:szCs w:val="28"/>
        </w:rPr>
        <w:t xml:space="preserve">venezolana </w:t>
      </w:r>
      <w:r w:rsidR="009B73F5">
        <w:rPr>
          <w:rFonts w:ascii="Times New Roman" w:hAnsi="Times New Roman" w:cs="Times New Roman"/>
          <w:sz w:val="28"/>
          <w:szCs w:val="28"/>
        </w:rPr>
        <w:t>utilizando el argumento de una conspiración agenciada desde Colombia.</w:t>
      </w:r>
    </w:p>
    <w:p w:rsidR="000827BF" w:rsidRDefault="002A1F87" w:rsidP="006C5714">
      <w:pPr>
        <w:jc w:val="both"/>
        <w:rPr>
          <w:rFonts w:ascii="Times New Roman" w:hAnsi="Times New Roman" w:cs="Times New Roman"/>
          <w:sz w:val="28"/>
          <w:szCs w:val="28"/>
        </w:rPr>
      </w:pPr>
      <w:r>
        <w:rPr>
          <w:rFonts w:ascii="Times New Roman" w:hAnsi="Times New Roman" w:cs="Times New Roman"/>
          <w:sz w:val="28"/>
          <w:szCs w:val="28"/>
        </w:rPr>
        <w:t xml:space="preserve">Desde mediados de 2014, el Presidente Maduro </w:t>
      </w:r>
      <w:r w:rsidR="00B02D2D">
        <w:rPr>
          <w:rFonts w:ascii="Times New Roman" w:hAnsi="Times New Roman" w:cs="Times New Roman"/>
          <w:sz w:val="28"/>
          <w:szCs w:val="28"/>
        </w:rPr>
        <w:t>ordena</w:t>
      </w:r>
      <w:r>
        <w:rPr>
          <w:rFonts w:ascii="Times New Roman" w:hAnsi="Times New Roman" w:cs="Times New Roman"/>
          <w:sz w:val="28"/>
          <w:szCs w:val="28"/>
        </w:rPr>
        <w:t>, inicialmente en forma parcial, e</w:t>
      </w:r>
      <w:r w:rsidR="003F6640">
        <w:rPr>
          <w:rFonts w:ascii="Times New Roman" w:hAnsi="Times New Roman" w:cs="Times New Roman"/>
          <w:sz w:val="28"/>
          <w:szCs w:val="28"/>
        </w:rPr>
        <w:t>l cierre de la frontera</w:t>
      </w:r>
      <w:r>
        <w:rPr>
          <w:rFonts w:ascii="Times New Roman" w:hAnsi="Times New Roman" w:cs="Times New Roman"/>
          <w:sz w:val="28"/>
          <w:szCs w:val="28"/>
        </w:rPr>
        <w:t xml:space="preserve"> colombo-venezolana en un </w:t>
      </w:r>
      <w:r w:rsidR="00F45EB1">
        <w:rPr>
          <w:rFonts w:ascii="Times New Roman" w:hAnsi="Times New Roman" w:cs="Times New Roman"/>
          <w:sz w:val="28"/>
          <w:szCs w:val="28"/>
        </w:rPr>
        <w:t xml:space="preserve">supuesto </w:t>
      </w:r>
      <w:r>
        <w:rPr>
          <w:rFonts w:ascii="Times New Roman" w:hAnsi="Times New Roman" w:cs="Times New Roman"/>
          <w:sz w:val="28"/>
          <w:szCs w:val="28"/>
        </w:rPr>
        <w:t xml:space="preserve">intento por </w:t>
      </w:r>
      <w:r w:rsidR="003F6640" w:rsidRPr="003F6640">
        <w:rPr>
          <w:rFonts w:ascii="Times New Roman" w:hAnsi="Times New Roman" w:cs="Times New Roman"/>
          <w:sz w:val="28"/>
          <w:szCs w:val="28"/>
        </w:rPr>
        <w:t xml:space="preserve">combatir el contrabando y prevenir actividades de personas que pudiesen representar amenazas a la seguridad de Venezuela. </w:t>
      </w:r>
      <w:r w:rsidR="009B73F5">
        <w:rPr>
          <w:rFonts w:ascii="Times New Roman" w:hAnsi="Times New Roman" w:cs="Times New Roman"/>
          <w:sz w:val="28"/>
          <w:szCs w:val="28"/>
        </w:rPr>
        <w:t xml:space="preserve">En agosto de 2015, </w:t>
      </w:r>
      <w:r w:rsidR="009B73F5" w:rsidRPr="009B73F5">
        <w:rPr>
          <w:rFonts w:ascii="Times New Roman" w:hAnsi="Times New Roman" w:cs="Times New Roman"/>
          <w:sz w:val="28"/>
          <w:szCs w:val="28"/>
        </w:rPr>
        <w:t>decret</w:t>
      </w:r>
      <w:r w:rsidR="00B02D2D">
        <w:rPr>
          <w:rFonts w:ascii="Times New Roman" w:hAnsi="Times New Roman" w:cs="Times New Roman"/>
          <w:sz w:val="28"/>
          <w:szCs w:val="28"/>
        </w:rPr>
        <w:t>a</w:t>
      </w:r>
      <w:r w:rsidR="009B73F5" w:rsidRPr="009B73F5">
        <w:rPr>
          <w:rFonts w:ascii="Times New Roman" w:hAnsi="Times New Roman" w:cs="Times New Roman"/>
          <w:sz w:val="28"/>
          <w:szCs w:val="28"/>
        </w:rPr>
        <w:t xml:space="preserve"> el cierre </w:t>
      </w:r>
      <w:r w:rsidR="00AA6914">
        <w:rPr>
          <w:rFonts w:ascii="Times New Roman" w:hAnsi="Times New Roman" w:cs="Times New Roman"/>
          <w:sz w:val="28"/>
          <w:szCs w:val="28"/>
        </w:rPr>
        <w:t>total</w:t>
      </w:r>
      <w:r w:rsidR="003F6640">
        <w:rPr>
          <w:rFonts w:ascii="Times New Roman" w:hAnsi="Times New Roman" w:cs="Times New Roman"/>
          <w:sz w:val="28"/>
          <w:szCs w:val="28"/>
        </w:rPr>
        <w:t xml:space="preserve"> </w:t>
      </w:r>
      <w:r w:rsidR="009B73F5" w:rsidRPr="009B73F5">
        <w:rPr>
          <w:rFonts w:ascii="Times New Roman" w:hAnsi="Times New Roman" w:cs="Times New Roman"/>
          <w:sz w:val="28"/>
          <w:szCs w:val="28"/>
        </w:rPr>
        <w:t>de la frontera de 2.200 kilómetros, argumentando que dejarla abierta implicaba un riesgo de seguridad por la presencia de lo que llamó paramilitares colombianos, y para frenar el contrabando de productos básicos desde una Venezuela cada vez más golpeada por la escasez.</w:t>
      </w:r>
      <w:r w:rsidR="009B73F5">
        <w:rPr>
          <w:rFonts w:ascii="Times New Roman" w:hAnsi="Times New Roman" w:cs="Times New Roman"/>
          <w:sz w:val="28"/>
          <w:szCs w:val="28"/>
        </w:rPr>
        <w:t xml:space="preserve"> </w:t>
      </w:r>
      <w:r w:rsidR="00BA38C2">
        <w:rPr>
          <w:rFonts w:ascii="Times New Roman" w:hAnsi="Times New Roman" w:cs="Times New Roman"/>
          <w:sz w:val="28"/>
          <w:szCs w:val="28"/>
        </w:rPr>
        <w:t xml:space="preserve">  </w:t>
      </w:r>
    </w:p>
    <w:p w:rsidR="00F22B04" w:rsidRPr="00F22B04" w:rsidRDefault="00F22B04" w:rsidP="00F22B04">
      <w:pPr>
        <w:jc w:val="both"/>
        <w:rPr>
          <w:rFonts w:ascii="Times New Roman" w:hAnsi="Times New Roman" w:cs="Times New Roman"/>
          <w:bCs/>
          <w:sz w:val="28"/>
          <w:szCs w:val="28"/>
        </w:rPr>
      </w:pPr>
      <w:r>
        <w:rPr>
          <w:rFonts w:ascii="Times New Roman" w:hAnsi="Times New Roman" w:cs="Times New Roman"/>
          <w:bCs/>
          <w:sz w:val="28"/>
          <w:szCs w:val="28"/>
        </w:rPr>
        <w:t>Con la reapertura</w:t>
      </w:r>
      <w:r w:rsidR="00E25146">
        <w:rPr>
          <w:rFonts w:ascii="Times New Roman" w:hAnsi="Times New Roman" w:cs="Times New Roman"/>
          <w:bCs/>
          <w:sz w:val="28"/>
          <w:szCs w:val="28"/>
        </w:rPr>
        <w:t xml:space="preserve"> </w:t>
      </w:r>
      <w:r w:rsidR="00EB342C">
        <w:rPr>
          <w:rFonts w:ascii="Times New Roman" w:hAnsi="Times New Roman" w:cs="Times New Roman"/>
          <w:bCs/>
          <w:sz w:val="28"/>
          <w:szCs w:val="28"/>
        </w:rPr>
        <w:t>transitoria</w:t>
      </w:r>
      <w:r w:rsidR="00AA6914">
        <w:rPr>
          <w:rFonts w:ascii="Times New Roman" w:hAnsi="Times New Roman" w:cs="Times New Roman"/>
          <w:bCs/>
          <w:sz w:val="28"/>
          <w:szCs w:val="28"/>
        </w:rPr>
        <w:t xml:space="preserve">, </w:t>
      </w:r>
      <w:r w:rsidR="00E25146">
        <w:rPr>
          <w:rFonts w:ascii="Times New Roman" w:hAnsi="Times New Roman" w:cs="Times New Roman"/>
          <w:bCs/>
          <w:sz w:val="28"/>
          <w:szCs w:val="28"/>
        </w:rPr>
        <w:t>en</w:t>
      </w:r>
      <w:r>
        <w:rPr>
          <w:rFonts w:ascii="Times New Roman" w:hAnsi="Times New Roman" w:cs="Times New Roman"/>
          <w:bCs/>
          <w:sz w:val="28"/>
          <w:szCs w:val="28"/>
        </w:rPr>
        <w:t xml:space="preserve"> julio</w:t>
      </w:r>
      <w:r w:rsidR="00E25146">
        <w:rPr>
          <w:rFonts w:ascii="Times New Roman" w:hAnsi="Times New Roman" w:cs="Times New Roman"/>
          <w:bCs/>
          <w:sz w:val="28"/>
          <w:szCs w:val="28"/>
        </w:rPr>
        <w:t xml:space="preserve"> 10</w:t>
      </w:r>
      <w:r>
        <w:rPr>
          <w:rFonts w:ascii="Times New Roman" w:hAnsi="Times New Roman" w:cs="Times New Roman"/>
          <w:bCs/>
          <w:sz w:val="28"/>
          <w:szCs w:val="28"/>
        </w:rPr>
        <w:t xml:space="preserve"> de 2016 se pudieron observar m</w:t>
      </w:r>
      <w:r w:rsidRPr="00F22B04">
        <w:rPr>
          <w:rFonts w:ascii="Times New Roman" w:hAnsi="Times New Roman" w:cs="Times New Roman"/>
          <w:bCs/>
          <w:sz w:val="28"/>
          <w:szCs w:val="28"/>
        </w:rPr>
        <w:t>iles de venezolanos cruzan</w:t>
      </w:r>
      <w:r>
        <w:rPr>
          <w:rFonts w:ascii="Times New Roman" w:hAnsi="Times New Roman" w:cs="Times New Roman"/>
          <w:bCs/>
          <w:sz w:val="28"/>
          <w:szCs w:val="28"/>
        </w:rPr>
        <w:t>do</w:t>
      </w:r>
      <w:r w:rsidRPr="00F22B04">
        <w:rPr>
          <w:rFonts w:ascii="Times New Roman" w:hAnsi="Times New Roman" w:cs="Times New Roman"/>
          <w:bCs/>
          <w:sz w:val="28"/>
          <w:szCs w:val="28"/>
        </w:rPr>
        <w:t xml:space="preserve"> la frontera con Colombia para comprar productos básicos</w:t>
      </w:r>
      <w:r w:rsidR="00E25146">
        <w:rPr>
          <w:rFonts w:ascii="Times New Roman" w:hAnsi="Times New Roman" w:cs="Times New Roman"/>
          <w:bCs/>
          <w:sz w:val="28"/>
          <w:szCs w:val="28"/>
        </w:rPr>
        <w:t xml:space="preserve"> (como alimentos</w:t>
      </w:r>
      <w:r w:rsidR="000145F9">
        <w:rPr>
          <w:rFonts w:ascii="Times New Roman" w:hAnsi="Times New Roman" w:cs="Times New Roman"/>
          <w:bCs/>
          <w:sz w:val="28"/>
          <w:szCs w:val="28"/>
        </w:rPr>
        <w:t>, papel higiénico, toallas sanitarias</w:t>
      </w:r>
      <w:r w:rsidR="00E25146">
        <w:rPr>
          <w:rFonts w:ascii="Times New Roman" w:hAnsi="Times New Roman" w:cs="Times New Roman"/>
          <w:bCs/>
          <w:sz w:val="28"/>
          <w:szCs w:val="28"/>
        </w:rPr>
        <w:t xml:space="preserve"> y medicinas) </w:t>
      </w:r>
      <w:r w:rsidR="00CF2FAB">
        <w:rPr>
          <w:rFonts w:ascii="Times New Roman" w:hAnsi="Times New Roman" w:cs="Times New Roman"/>
          <w:bCs/>
          <w:sz w:val="28"/>
          <w:szCs w:val="28"/>
        </w:rPr>
        <w:t xml:space="preserve">que </w:t>
      </w:r>
      <w:r w:rsidR="00E25146" w:rsidRPr="00E25146">
        <w:rPr>
          <w:rFonts w:ascii="Times New Roman" w:hAnsi="Times New Roman" w:cs="Times New Roman"/>
          <w:bCs/>
          <w:sz w:val="28"/>
          <w:szCs w:val="28"/>
        </w:rPr>
        <w:t>no p</w:t>
      </w:r>
      <w:r w:rsidR="00414F0E">
        <w:rPr>
          <w:rFonts w:ascii="Times New Roman" w:hAnsi="Times New Roman" w:cs="Times New Roman"/>
          <w:bCs/>
          <w:sz w:val="28"/>
          <w:szCs w:val="28"/>
        </w:rPr>
        <w:t>odían</w:t>
      </w:r>
      <w:r w:rsidR="00E25146" w:rsidRPr="00E25146">
        <w:rPr>
          <w:rFonts w:ascii="Times New Roman" w:hAnsi="Times New Roman" w:cs="Times New Roman"/>
          <w:bCs/>
          <w:sz w:val="28"/>
          <w:szCs w:val="28"/>
        </w:rPr>
        <w:t xml:space="preserve"> </w:t>
      </w:r>
      <w:r w:rsidR="00E25146">
        <w:rPr>
          <w:rFonts w:ascii="Times New Roman" w:hAnsi="Times New Roman" w:cs="Times New Roman"/>
          <w:bCs/>
          <w:sz w:val="28"/>
          <w:szCs w:val="28"/>
        </w:rPr>
        <w:t xml:space="preserve">adquirir </w:t>
      </w:r>
      <w:r w:rsidR="00E25146" w:rsidRPr="00E25146">
        <w:rPr>
          <w:rFonts w:ascii="Times New Roman" w:hAnsi="Times New Roman" w:cs="Times New Roman"/>
          <w:bCs/>
          <w:sz w:val="28"/>
          <w:szCs w:val="28"/>
        </w:rPr>
        <w:t>en su país debido a la escasez.</w:t>
      </w:r>
      <w:r w:rsidR="00C60E3F">
        <w:rPr>
          <w:rFonts w:ascii="Times New Roman" w:hAnsi="Times New Roman" w:cs="Times New Roman"/>
          <w:bCs/>
          <w:sz w:val="28"/>
          <w:szCs w:val="28"/>
        </w:rPr>
        <w:t xml:space="preserve"> </w:t>
      </w:r>
      <w:r w:rsidR="00C60E3F" w:rsidRPr="00C60E3F">
        <w:rPr>
          <w:rFonts w:ascii="Times New Roman" w:hAnsi="Times New Roman" w:cs="Times New Roman"/>
          <w:bCs/>
          <w:sz w:val="28"/>
          <w:szCs w:val="28"/>
        </w:rPr>
        <w:t xml:space="preserve">Muchos </w:t>
      </w:r>
      <w:r w:rsidR="00C60E3F">
        <w:rPr>
          <w:rFonts w:ascii="Times New Roman" w:hAnsi="Times New Roman" w:cs="Times New Roman"/>
          <w:bCs/>
          <w:sz w:val="28"/>
          <w:szCs w:val="28"/>
        </w:rPr>
        <w:t xml:space="preserve">venezolanos </w:t>
      </w:r>
      <w:r w:rsidR="00C60E3F" w:rsidRPr="00C60E3F">
        <w:rPr>
          <w:rFonts w:ascii="Times New Roman" w:hAnsi="Times New Roman" w:cs="Times New Roman"/>
          <w:bCs/>
          <w:sz w:val="28"/>
          <w:szCs w:val="28"/>
        </w:rPr>
        <w:t>se s</w:t>
      </w:r>
      <w:r w:rsidR="00C60E3F">
        <w:rPr>
          <w:rFonts w:ascii="Times New Roman" w:hAnsi="Times New Roman" w:cs="Times New Roman"/>
          <w:bCs/>
          <w:sz w:val="28"/>
          <w:szCs w:val="28"/>
        </w:rPr>
        <w:t>intieron</w:t>
      </w:r>
      <w:r w:rsidR="00C60E3F" w:rsidRPr="00C60E3F">
        <w:rPr>
          <w:rFonts w:ascii="Times New Roman" w:hAnsi="Times New Roman" w:cs="Times New Roman"/>
          <w:bCs/>
          <w:sz w:val="28"/>
          <w:szCs w:val="28"/>
        </w:rPr>
        <w:t xml:space="preserve"> </w:t>
      </w:r>
      <w:r w:rsidR="00C60E3F" w:rsidRPr="00C60E3F">
        <w:rPr>
          <w:rFonts w:ascii="Times New Roman" w:hAnsi="Times New Roman" w:cs="Times New Roman"/>
          <w:b/>
          <w:bCs/>
          <w:sz w:val="28"/>
          <w:szCs w:val="28"/>
        </w:rPr>
        <w:t>"</w:t>
      </w:r>
      <w:r w:rsidR="00C60E3F" w:rsidRPr="00C60E3F">
        <w:rPr>
          <w:rFonts w:ascii="Times New Roman" w:hAnsi="Times New Roman" w:cs="Times New Roman"/>
          <w:bCs/>
          <w:sz w:val="28"/>
          <w:szCs w:val="28"/>
        </w:rPr>
        <w:t>fel</w:t>
      </w:r>
      <w:r w:rsidR="00C60E3F">
        <w:rPr>
          <w:rFonts w:ascii="Times New Roman" w:hAnsi="Times New Roman" w:cs="Times New Roman"/>
          <w:bCs/>
          <w:sz w:val="28"/>
          <w:szCs w:val="28"/>
        </w:rPr>
        <w:t>i</w:t>
      </w:r>
      <w:r w:rsidR="00BB160D">
        <w:rPr>
          <w:rFonts w:ascii="Times New Roman" w:hAnsi="Times New Roman" w:cs="Times New Roman"/>
          <w:bCs/>
          <w:sz w:val="28"/>
          <w:szCs w:val="28"/>
        </w:rPr>
        <w:t xml:space="preserve">ces de ver tanta comida junta" y hacían filas interminables para cambiar bolívares por pesos colombianos. </w:t>
      </w:r>
      <w:r w:rsidR="00CF2FAB">
        <w:rPr>
          <w:rFonts w:ascii="Times New Roman" w:hAnsi="Times New Roman" w:cs="Times New Roman"/>
          <w:bCs/>
          <w:sz w:val="28"/>
          <w:szCs w:val="28"/>
        </w:rPr>
        <w:t xml:space="preserve">Desde entonces, la situación fronteriza comenzó a “normalizarse”. </w:t>
      </w:r>
    </w:p>
    <w:p w:rsidR="00D35926" w:rsidRDefault="00B85DFE" w:rsidP="006C5714">
      <w:pPr>
        <w:jc w:val="both"/>
        <w:rPr>
          <w:rFonts w:ascii="Times New Roman" w:hAnsi="Times New Roman" w:cs="Times New Roman"/>
          <w:sz w:val="28"/>
          <w:szCs w:val="28"/>
        </w:rPr>
      </w:pPr>
      <w:r>
        <w:rPr>
          <w:rFonts w:ascii="Times New Roman" w:hAnsi="Times New Roman" w:cs="Times New Roman"/>
          <w:sz w:val="28"/>
          <w:szCs w:val="28"/>
        </w:rPr>
        <w:lastRenderedPageBreak/>
        <w:t>El 1</w:t>
      </w:r>
      <w:r w:rsidR="00621300">
        <w:rPr>
          <w:rFonts w:ascii="Times New Roman" w:hAnsi="Times New Roman" w:cs="Times New Roman"/>
          <w:sz w:val="28"/>
          <w:szCs w:val="28"/>
        </w:rPr>
        <w:t>2</w:t>
      </w:r>
      <w:r>
        <w:rPr>
          <w:rFonts w:ascii="Times New Roman" w:hAnsi="Times New Roman" w:cs="Times New Roman"/>
          <w:sz w:val="28"/>
          <w:szCs w:val="28"/>
        </w:rPr>
        <w:t xml:space="preserve"> de diciembre de 2016</w:t>
      </w:r>
      <w:r w:rsidR="006C5714">
        <w:rPr>
          <w:rFonts w:ascii="Times New Roman" w:hAnsi="Times New Roman" w:cs="Times New Roman"/>
          <w:sz w:val="28"/>
          <w:szCs w:val="28"/>
        </w:rPr>
        <w:t xml:space="preserve">, en otro ataque paranoico, </w:t>
      </w:r>
      <w:r w:rsidR="00873012">
        <w:rPr>
          <w:rFonts w:ascii="Times New Roman" w:hAnsi="Times New Roman" w:cs="Times New Roman"/>
          <w:sz w:val="28"/>
          <w:szCs w:val="28"/>
        </w:rPr>
        <w:t xml:space="preserve">ordena un nuevo cierre de la frontera por 72 horas. Este nuevo cierre, que complementa la salida </w:t>
      </w:r>
      <w:r w:rsidR="006C5714">
        <w:rPr>
          <w:rFonts w:ascii="Times New Roman" w:hAnsi="Times New Roman" w:cs="Times New Roman"/>
          <w:sz w:val="28"/>
          <w:szCs w:val="28"/>
        </w:rPr>
        <w:t>de circulación de</w:t>
      </w:r>
      <w:r w:rsidR="00F50460">
        <w:rPr>
          <w:rFonts w:ascii="Times New Roman" w:hAnsi="Times New Roman" w:cs="Times New Roman"/>
          <w:sz w:val="28"/>
          <w:szCs w:val="28"/>
        </w:rPr>
        <w:t>l</w:t>
      </w:r>
      <w:r w:rsidR="006C5714">
        <w:rPr>
          <w:rFonts w:ascii="Times New Roman" w:hAnsi="Times New Roman" w:cs="Times New Roman"/>
          <w:sz w:val="28"/>
          <w:szCs w:val="28"/>
        </w:rPr>
        <w:t xml:space="preserve">  billete de 100 bolívares, el de mayor denominación hasta ese momento, </w:t>
      </w:r>
      <w:r w:rsidR="00873012">
        <w:rPr>
          <w:rFonts w:ascii="Times New Roman" w:hAnsi="Times New Roman" w:cs="Times New Roman"/>
          <w:sz w:val="28"/>
          <w:szCs w:val="28"/>
        </w:rPr>
        <w:t xml:space="preserve">se justifica </w:t>
      </w:r>
      <w:r w:rsidR="006C5714">
        <w:rPr>
          <w:rFonts w:ascii="Times New Roman" w:hAnsi="Times New Roman" w:cs="Times New Roman"/>
          <w:sz w:val="28"/>
          <w:szCs w:val="28"/>
        </w:rPr>
        <w:t>en la existencia de u</w:t>
      </w:r>
      <w:r w:rsidR="006C5714" w:rsidRPr="006C5714">
        <w:rPr>
          <w:rFonts w:ascii="Times New Roman" w:hAnsi="Times New Roman" w:cs="Times New Roman"/>
          <w:sz w:val="28"/>
          <w:szCs w:val="28"/>
        </w:rPr>
        <w:t xml:space="preserve">n sector inescrupuloso enemigo de la Patria, </w:t>
      </w:r>
      <w:r w:rsidR="006C5714">
        <w:rPr>
          <w:rFonts w:ascii="Times New Roman" w:hAnsi="Times New Roman" w:cs="Times New Roman"/>
          <w:sz w:val="28"/>
          <w:szCs w:val="28"/>
        </w:rPr>
        <w:t xml:space="preserve">que </w:t>
      </w:r>
      <w:r w:rsidR="006C5714" w:rsidRPr="006C5714">
        <w:rPr>
          <w:rFonts w:ascii="Times New Roman" w:hAnsi="Times New Roman" w:cs="Times New Roman"/>
          <w:sz w:val="28"/>
          <w:szCs w:val="28"/>
        </w:rPr>
        <w:t>ha emprendido un fuerte ataque contra la moneda venezolana, aplicando métodos ilegales de acaparamiento y extracción del papel moneda de curso legal</w:t>
      </w:r>
      <w:r w:rsidR="006C5714">
        <w:rPr>
          <w:rFonts w:ascii="Times New Roman" w:hAnsi="Times New Roman" w:cs="Times New Roman"/>
          <w:sz w:val="28"/>
          <w:szCs w:val="28"/>
        </w:rPr>
        <w:t xml:space="preserve"> con el fin de desestabilizar la economía venezolana</w:t>
      </w:r>
      <w:r w:rsidR="006C5714" w:rsidRPr="006C5714">
        <w:rPr>
          <w:rFonts w:ascii="Times New Roman" w:hAnsi="Times New Roman" w:cs="Times New Roman"/>
          <w:sz w:val="28"/>
          <w:szCs w:val="28"/>
        </w:rPr>
        <w:t>,</w:t>
      </w:r>
      <w:r w:rsidR="006C5714">
        <w:rPr>
          <w:rFonts w:ascii="Times New Roman" w:hAnsi="Times New Roman" w:cs="Times New Roman"/>
          <w:sz w:val="28"/>
          <w:szCs w:val="28"/>
        </w:rPr>
        <w:t xml:space="preserve"> como reza el texto oficial. </w:t>
      </w:r>
      <w:r w:rsidR="00865E3A">
        <w:rPr>
          <w:rFonts w:ascii="Times New Roman" w:hAnsi="Times New Roman" w:cs="Times New Roman"/>
          <w:sz w:val="28"/>
          <w:szCs w:val="28"/>
        </w:rPr>
        <w:t xml:space="preserve">Según las palabras del Presidente venezolano, la medida se toma después de una exhaustiva investigación </w:t>
      </w:r>
      <w:r w:rsidR="00865E3A" w:rsidRPr="00865E3A">
        <w:rPr>
          <w:rFonts w:ascii="Times New Roman" w:hAnsi="Times New Roman" w:cs="Times New Roman"/>
          <w:sz w:val="28"/>
          <w:szCs w:val="28"/>
        </w:rPr>
        <w:t>en la que se determinó que hay almacenes, no solo en varias ciudades de Colombia, sino también en Brasil, Alemania, República Checa y Ucrania, donde las mafias estarían acumulando los billetes venezolanos.</w:t>
      </w:r>
      <w:r w:rsidR="00137DAC">
        <w:rPr>
          <w:rFonts w:ascii="Times New Roman" w:hAnsi="Times New Roman" w:cs="Times New Roman"/>
          <w:sz w:val="28"/>
          <w:szCs w:val="28"/>
        </w:rPr>
        <w:t xml:space="preserve"> Responsabiliza también a este sector inescrupuloso de la </w:t>
      </w:r>
      <w:r w:rsidR="003857C5">
        <w:rPr>
          <w:rFonts w:ascii="Times New Roman" w:hAnsi="Times New Roman" w:cs="Times New Roman"/>
          <w:sz w:val="28"/>
          <w:szCs w:val="28"/>
        </w:rPr>
        <w:t>elevada</w:t>
      </w:r>
      <w:r w:rsidR="00137DAC">
        <w:rPr>
          <w:rFonts w:ascii="Times New Roman" w:hAnsi="Times New Roman" w:cs="Times New Roman"/>
          <w:sz w:val="28"/>
          <w:szCs w:val="28"/>
        </w:rPr>
        <w:t xml:space="preserve"> inflación venezolana, una de las más altas del mundo.</w:t>
      </w:r>
      <w:r w:rsidR="00F71B4F">
        <w:rPr>
          <w:rFonts w:ascii="Times New Roman" w:hAnsi="Times New Roman" w:cs="Times New Roman"/>
          <w:sz w:val="28"/>
          <w:szCs w:val="28"/>
        </w:rPr>
        <w:t xml:space="preserve"> </w:t>
      </w:r>
    </w:p>
    <w:p w:rsidR="00592991" w:rsidRDefault="007F6A70" w:rsidP="006C5714">
      <w:pPr>
        <w:jc w:val="both"/>
        <w:rPr>
          <w:rFonts w:ascii="Times New Roman" w:hAnsi="Times New Roman" w:cs="Times New Roman"/>
          <w:sz w:val="28"/>
          <w:szCs w:val="28"/>
        </w:rPr>
      </w:pPr>
      <w:r>
        <w:rPr>
          <w:rFonts w:ascii="Times New Roman" w:hAnsi="Times New Roman" w:cs="Times New Roman"/>
          <w:sz w:val="28"/>
          <w:szCs w:val="28"/>
        </w:rPr>
        <w:t xml:space="preserve">La duración de este cierre es el </w:t>
      </w:r>
      <w:r w:rsidR="004A7537">
        <w:rPr>
          <w:rFonts w:ascii="Times New Roman" w:hAnsi="Times New Roman" w:cs="Times New Roman"/>
          <w:sz w:val="28"/>
          <w:szCs w:val="28"/>
        </w:rPr>
        <w:t>plazo establecido para que los residentes venezolanos pudieran acudir a los bancos oficiales a ca</w:t>
      </w:r>
      <w:r w:rsidR="00947DAF">
        <w:rPr>
          <w:rFonts w:ascii="Times New Roman" w:hAnsi="Times New Roman" w:cs="Times New Roman"/>
          <w:sz w:val="28"/>
          <w:szCs w:val="28"/>
        </w:rPr>
        <w:t>njear</w:t>
      </w:r>
      <w:r>
        <w:rPr>
          <w:rFonts w:ascii="Times New Roman" w:hAnsi="Times New Roman" w:cs="Times New Roman"/>
          <w:sz w:val="28"/>
          <w:szCs w:val="28"/>
        </w:rPr>
        <w:t xml:space="preserve"> los billetes de 100 bolívares </w:t>
      </w:r>
      <w:r w:rsidR="00947DAF">
        <w:rPr>
          <w:rFonts w:ascii="Times New Roman" w:hAnsi="Times New Roman" w:cs="Times New Roman"/>
          <w:sz w:val="28"/>
          <w:szCs w:val="28"/>
        </w:rPr>
        <w:t xml:space="preserve">por billetes de </w:t>
      </w:r>
      <w:r w:rsidR="004A7537">
        <w:rPr>
          <w:rFonts w:ascii="Times New Roman" w:hAnsi="Times New Roman" w:cs="Times New Roman"/>
          <w:sz w:val="28"/>
          <w:szCs w:val="28"/>
        </w:rPr>
        <w:t xml:space="preserve">otras denominaciones </w:t>
      </w:r>
      <w:r w:rsidR="00947DAF">
        <w:rPr>
          <w:rFonts w:ascii="Times New Roman" w:hAnsi="Times New Roman" w:cs="Times New Roman"/>
          <w:sz w:val="28"/>
          <w:szCs w:val="28"/>
        </w:rPr>
        <w:t>o depositarlos en sus cuentas bancarias</w:t>
      </w:r>
      <w:r>
        <w:rPr>
          <w:rFonts w:ascii="Times New Roman" w:hAnsi="Times New Roman" w:cs="Times New Roman"/>
          <w:sz w:val="28"/>
          <w:szCs w:val="28"/>
        </w:rPr>
        <w:t xml:space="preserve">. </w:t>
      </w:r>
      <w:r w:rsidR="00FD6460">
        <w:rPr>
          <w:rFonts w:ascii="Times New Roman" w:hAnsi="Times New Roman" w:cs="Times New Roman"/>
          <w:sz w:val="28"/>
          <w:szCs w:val="28"/>
        </w:rPr>
        <w:t xml:space="preserve">Se trata de una </w:t>
      </w:r>
      <w:r w:rsidR="0065120B">
        <w:rPr>
          <w:rFonts w:ascii="Times New Roman" w:hAnsi="Times New Roman" w:cs="Times New Roman"/>
          <w:sz w:val="28"/>
          <w:szCs w:val="28"/>
        </w:rPr>
        <w:t xml:space="preserve">colosal operación </w:t>
      </w:r>
      <w:r w:rsidR="00FD6460">
        <w:rPr>
          <w:rFonts w:ascii="Times New Roman" w:hAnsi="Times New Roman" w:cs="Times New Roman"/>
          <w:sz w:val="28"/>
          <w:szCs w:val="28"/>
        </w:rPr>
        <w:t xml:space="preserve">que </w:t>
      </w:r>
      <w:r w:rsidR="0065120B">
        <w:rPr>
          <w:rFonts w:ascii="Times New Roman" w:hAnsi="Times New Roman" w:cs="Times New Roman"/>
          <w:sz w:val="28"/>
          <w:szCs w:val="28"/>
        </w:rPr>
        <w:t>implicaría la salida de circulación de a</w:t>
      </w:r>
      <w:r>
        <w:rPr>
          <w:rFonts w:ascii="Times New Roman" w:hAnsi="Times New Roman" w:cs="Times New Roman"/>
          <w:sz w:val="28"/>
          <w:szCs w:val="28"/>
        </w:rPr>
        <w:t>proximadamente 6.000 millones de billetes de 100 bolívares</w:t>
      </w:r>
      <w:r w:rsidR="0044656F">
        <w:rPr>
          <w:rFonts w:ascii="Times New Roman" w:hAnsi="Times New Roman" w:cs="Times New Roman"/>
          <w:sz w:val="28"/>
          <w:szCs w:val="28"/>
        </w:rPr>
        <w:t xml:space="preserve">, aunque </w:t>
      </w:r>
      <w:r>
        <w:rPr>
          <w:rFonts w:ascii="Times New Roman" w:hAnsi="Times New Roman" w:cs="Times New Roman"/>
          <w:sz w:val="28"/>
          <w:szCs w:val="28"/>
        </w:rPr>
        <w:t xml:space="preserve">puede ser </w:t>
      </w:r>
      <w:r w:rsidR="0044656F">
        <w:rPr>
          <w:rFonts w:ascii="Times New Roman" w:hAnsi="Times New Roman" w:cs="Times New Roman"/>
          <w:sz w:val="28"/>
          <w:szCs w:val="28"/>
        </w:rPr>
        <w:t>un número menor en virtud del cierre de la frontera.</w:t>
      </w:r>
      <w:r w:rsidR="00075E23">
        <w:rPr>
          <w:rFonts w:ascii="Times New Roman" w:hAnsi="Times New Roman" w:cs="Times New Roman"/>
          <w:sz w:val="28"/>
          <w:szCs w:val="28"/>
        </w:rPr>
        <w:t xml:space="preserve"> </w:t>
      </w:r>
    </w:p>
    <w:p w:rsidR="004326D4" w:rsidRDefault="00592991" w:rsidP="006C5714">
      <w:pPr>
        <w:jc w:val="both"/>
        <w:rPr>
          <w:rFonts w:ascii="Times New Roman" w:hAnsi="Times New Roman" w:cs="Times New Roman"/>
          <w:sz w:val="28"/>
          <w:szCs w:val="28"/>
        </w:rPr>
      </w:pPr>
      <w:r>
        <w:rPr>
          <w:rFonts w:ascii="Times New Roman" w:hAnsi="Times New Roman" w:cs="Times New Roman"/>
          <w:sz w:val="28"/>
          <w:szCs w:val="28"/>
        </w:rPr>
        <w:t xml:space="preserve">Ante el </w:t>
      </w:r>
      <w:r w:rsidR="005B20C0">
        <w:rPr>
          <w:rFonts w:ascii="Times New Roman" w:hAnsi="Times New Roman" w:cs="Times New Roman"/>
          <w:sz w:val="28"/>
          <w:szCs w:val="28"/>
        </w:rPr>
        <w:t xml:space="preserve">gran </w:t>
      </w:r>
      <w:r>
        <w:rPr>
          <w:rFonts w:ascii="Times New Roman" w:hAnsi="Times New Roman" w:cs="Times New Roman"/>
          <w:sz w:val="28"/>
          <w:szCs w:val="28"/>
        </w:rPr>
        <w:t xml:space="preserve">fracaso </w:t>
      </w:r>
      <w:r w:rsidR="005B20C0">
        <w:rPr>
          <w:rFonts w:ascii="Times New Roman" w:hAnsi="Times New Roman" w:cs="Times New Roman"/>
          <w:sz w:val="28"/>
          <w:szCs w:val="28"/>
        </w:rPr>
        <w:t>de esta gigantesca operación de canje, e</w:t>
      </w:r>
      <w:r w:rsidR="00075E23">
        <w:rPr>
          <w:rFonts w:ascii="Times New Roman" w:hAnsi="Times New Roman" w:cs="Times New Roman"/>
          <w:sz w:val="28"/>
          <w:szCs w:val="28"/>
        </w:rPr>
        <w:t>n diciembre</w:t>
      </w:r>
      <w:r w:rsidR="0044656F">
        <w:rPr>
          <w:rFonts w:ascii="Times New Roman" w:hAnsi="Times New Roman" w:cs="Times New Roman"/>
          <w:sz w:val="28"/>
          <w:szCs w:val="28"/>
        </w:rPr>
        <w:t xml:space="preserve"> </w:t>
      </w:r>
      <w:r w:rsidR="00075E23">
        <w:rPr>
          <w:rFonts w:ascii="Times New Roman" w:hAnsi="Times New Roman" w:cs="Times New Roman"/>
          <w:sz w:val="28"/>
          <w:szCs w:val="28"/>
        </w:rPr>
        <w:t xml:space="preserve">17 de 2016, el Presidente Maduro decidió mantener cerrada la frontera con Colombia y Brasil hasta el 2 de enero de 2017 y prorrogar la vigencia de los billetes de 100 bolívares en el país, supuestamente para combatir las “mafias” que acechaban en la zona fronteriza. </w:t>
      </w:r>
      <w:r w:rsidR="004E7D5D">
        <w:rPr>
          <w:rFonts w:ascii="Times New Roman" w:hAnsi="Times New Roman" w:cs="Times New Roman"/>
          <w:sz w:val="28"/>
          <w:szCs w:val="28"/>
        </w:rPr>
        <w:t xml:space="preserve">La explicación de esta prórroga fue nuevamente la misma: El canje no pudo realizarse durante las 72 horas iniciales debido a un sabotaje internacional que impidió la llegada oportuna de los nuevos billetes. En palabras del Presidente venezolano: </w:t>
      </w:r>
      <w:r w:rsidR="004E7D5D" w:rsidRPr="004E7D5D">
        <w:rPr>
          <w:rFonts w:ascii="Times New Roman" w:hAnsi="Times New Roman" w:cs="Times New Roman"/>
          <w:sz w:val="28"/>
          <w:szCs w:val="28"/>
        </w:rPr>
        <w:t>“Tengo que denunciar algo, (...) estamos siendo víctimas de un sabotaje internacional para que los nuevos billetes que ya están</w:t>
      </w:r>
      <w:hyperlink r:id="rId7" w:history="1">
        <w:r w:rsidR="004E7D5D" w:rsidRPr="004E7D5D">
          <w:rPr>
            <w:rStyle w:val="Hipervnculo"/>
            <w:rFonts w:ascii="Times New Roman" w:hAnsi="Times New Roman" w:cs="Times New Roman"/>
            <w:color w:val="auto"/>
            <w:sz w:val="28"/>
            <w:szCs w:val="28"/>
            <w:u w:val="none"/>
          </w:rPr>
          <w:t xml:space="preserve"> listos no puedan ser trasladados a Venezuela</w:t>
        </w:r>
      </w:hyperlink>
      <w:r w:rsidR="004E7D5D" w:rsidRPr="004E7D5D">
        <w:rPr>
          <w:rFonts w:ascii="Times New Roman" w:hAnsi="Times New Roman" w:cs="Times New Roman"/>
          <w:sz w:val="28"/>
          <w:szCs w:val="28"/>
        </w:rPr>
        <w:t>”.</w:t>
      </w:r>
      <w:r w:rsidR="004E7D5D">
        <w:rPr>
          <w:rFonts w:ascii="Times New Roman" w:hAnsi="Times New Roman" w:cs="Times New Roman"/>
          <w:sz w:val="28"/>
          <w:szCs w:val="28"/>
        </w:rPr>
        <w:t xml:space="preserve"> </w:t>
      </w:r>
    </w:p>
    <w:p w:rsidR="009613BF" w:rsidRDefault="00DD20F5" w:rsidP="006C5714">
      <w:pPr>
        <w:jc w:val="both"/>
        <w:rPr>
          <w:rFonts w:ascii="Times New Roman" w:hAnsi="Times New Roman" w:cs="Times New Roman"/>
          <w:sz w:val="28"/>
          <w:szCs w:val="28"/>
        </w:rPr>
      </w:pPr>
      <w:r>
        <w:rPr>
          <w:rFonts w:ascii="Times New Roman" w:hAnsi="Times New Roman" w:cs="Times New Roman"/>
          <w:sz w:val="28"/>
          <w:szCs w:val="28"/>
        </w:rPr>
        <w:t>Aunque l</w:t>
      </w:r>
      <w:r w:rsidR="002F7A18">
        <w:rPr>
          <w:rFonts w:ascii="Times New Roman" w:hAnsi="Times New Roman" w:cs="Times New Roman"/>
          <w:sz w:val="28"/>
          <w:szCs w:val="28"/>
        </w:rPr>
        <w:t xml:space="preserve">a medida </w:t>
      </w:r>
      <w:r w:rsidR="005E0047">
        <w:rPr>
          <w:rFonts w:ascii="Times New Roman" w:hAnsi="Times New Roman" w:cs="Times New Roman"/>
          <w:sz w:val="28"/>
          <w:szCs w:val="28"/>
        </w:rPr>
        <w:t xml:space="preserve">generará inicialmente unas pérdidas importantes </w:t>
      </w:r>
      <w:r w:rsidR="0013098A">
        <w:rPr>
          <w:rFonts w:ascii="Times New Roman" w:hAnsi="Times New Roman" w:cs="Times New Roman"/>
          <w:sz w:val="28"/>
          <w:szCs w:val="28"/>
        </w:rPr>
        <w:t>para los comerciantes y</w:t>
      </w:r>
      <w:r w:rsidR="005E0047">
        <w:rPr>
          <w:rFonts w:ascii="Times New Roman" w:hAnsi="Times New Roman" w:cs="Times New Roman"/>
          <w:sz w:val="28"/>
          <w:szCs w:val="28"/>
        </w:rPr>
        <w:t xml:space="preserve"> </w:t>
      </w:r>
      <w:r w:rsidR="00F93AD6">
        <w:rPr>
          <w:rFonts w:ascii="Times New Roman" w:hAnsi="Times New Roman" w:cs="Times New Roman"/>
          <w:sz w:val="28"/>
          <w:szCs w:val="28"/>
        </w:rPr>
        <w:t>l</w:t>
      </w:r>
      <w:r w:rsidR="00DB2C28">
        <w:rPr>
          <w:rFonts w:ascii="Times New Roman" w:hAnsi="Times New Roman" w:cs="Times New Roman"/>
          <w:sz w:val="28"/>
          <w:szCs w:val="28"/>
        </w:rPr>
        <w:t xml:space="preserve">as casas de cambio </w:t>
      </w:r>
      <w:r w:rsidR="00F93AD6">
        <w:rPr>
          <w:rFonts w:ascii="Times New Roman" w:hAnsi="Times New Roman" w:cs="Times New Roman"/>
          <w:sz w:val="28"/>
          <w:szCs w:val="28"/>
        </w:rPr>
        <w:t xml:space="preserve">de </w:t>
      </w:r>
      <w:r>
        <w:rPr>
          <w:rFonts w:ascii="Times New Roman" w:hAnsi="Times New Roman" w:cs="Times New Roman"/>
          <w:sz w:val="28"/>
          <w:szCs w:val="28"/>
        </w:rPr>
        <w:t>las</w:t>
      </w:r>
      <w:r w:rsidR="00F93AD6">
        <w:rPr>
          <w:rFonts w:ascii="Times New Roman" w:hAnsi="Times New Roman" w:cs="Times New Roman"/>
          <w:sz w:val="28"/>
          <w:szCs w:val="28"/>
        </w:rPr>
        <w:t xml:space="preserve"> ciudades</w:t>
      </w:r>
      <w:r>
        <w:rPr>
          <w:rFonts w:ascii="Times New Roman" w:hAnsi="Times New Roman" w:cs="Times New Roman"/>
          <w:sz w:val="28"/>
          <w:szCs w:val="28"/>
        </w:rPr>
        <w:t xml:space="preserve"> fronterizas colombianas</w:t>
      </w:r>
      <w:r w:rsidR="00F93AD6">
        <w:rPr>
          <w:rFonts w:ascii="Times New Roman" w:hAnsi="Times New Roman" w:cs="Times New Roman"/>
          <w:sz w:val="28"/>
          <w:szCs w:val="28"/>
        </w:rPr>
        <w:t xml:space="preserve">, debido a que probablemente un número significativo de billetes de 100 </w:t>
      </w:r>
      <w:r w:rsidR="00F93AD6">
        <w:rPr>
          <w:rFonts w:ascii="Times New Roman" w:hAnsi="Times New Roman" w:cs="Times New Roman"/>
          <w:sz w:val="28"/>
          <w:szCs w:val="28"/>
        </w:rPr>
        <w:lastRenderedPageBreak/>
        <w:t xml:space="preserve">bolívares en </w:t>
      </w:r>
      <w:r w:rsidR="00B067DB">
        <w:rPr>
          <w:rFonts w:ascii="Times New Roman" w:hAnsi="Times New Roman" w:cs="Times New Roman"/>
          <w:sz w:val="28"/>
          <w:szCs w:val="28"/>
        </w:rPr>
        <w:t xml:space="preserve">sus manos </w:t>
      </w:r>
      <w:r w:rsidR="00BF5A9F">
        <w:rPr>
          <w:rFonts w:ascii="Times New Roman" w:hAnsi="Times New Roman" w:cs="Times New Roman"/>
          <w:sz w:val="28"/>
          <w:szCs w:val="28"/>
        </w:rPr>
        <w:t xml:space="preserve">no puedan </w:t>
      </w:r>
      <w:r>
        <w:rPr>
          <w:rFonts w:ascii="Times New Roman" w:hAnsi="Times New Roman" w:cs="Times New Roman"/>
          <w:sz w:val="28"/>
          <w:szCs w:val="28"/>
        </w:rPr>
        <w:t xml:space="preserve">retornar a Venezuela para </w:t>
      </w:r>
      <w:r w:rsidR="00BF5A9F">
        <w:rPr>
          <w:rFonts w:ascii="Times New Roman" w:hAnsi="Times New Roman" w:cs="Times New Roman"/>
          <w:sz w:val="28"/>
          <w:szCs w:val="28"/>
        </w:rPr>
        <w:t xml:space="preserve">ser canjeados por </w:t>
      </w:r>
      <w:r w:rsidR="005173C3">
        <w:rPr>
          <w:rFonts w:ascii="Times New Roman" w:hAnsi="Times New Roman" w:cs="Times New Roman"/>
          <w:sz w:val="28"/>
          <w:szCs w:val="28"/>
        </w:rPr>
        <w:t>b</w:t>
      </w:r>
      <w:r>
        <w:rPr>
          <w:rFonts w:ascii="Times New Roman" w:hAnsi="Times New Roman" w:cs="Times New Roman"/>
          <w:sz w:val="28"/>
          <w:szCs w:val="28"/>
        </w:rPr>
        <w:t>illetes de otras denominaciones en virtud d</w:t>
      </w:r>
      <w:r w:rsidR="00BF5A9F">
        <w:rPr>
          <w:rFonts w:ascii="Times New Roman" w:hAnsi="Times New Roman" w:cs="Times New Roman"/>
          <w:sz w:val="28"/>
          <w:szCs w:val="28"/>
        </w:rPr>
        <w:t>el cierre de la frontera</w:t>
      </w:r>
      <w:r w:rsidR="00363B97" w:rsidRPr="00652AFA">
        <w:rPr>
          <w:rFonts w:ascii="Times New Roman" w:eastAsia="Calibri" w:hAnsi="Times New Roman" w:cs="Times New Roman"/>
          <w:sz w:val="28"/>
          <w:szCs w:val="28"/>
          <w:vertAlign w:val="superscript"/>
          <w:lang w:val="es-ES_tradnl"/>
        </w:rPr>
        <w:footnoteReference w:id="1"/>
      </w:r>
      <w:r>
        <w:rPr>
          <w:rFonts w:ascii="Times New Roman" w:hAnsi="Times New Roman" w:cs="Times New Roman"/>
          <w:sz w:val="28"/>
          <w:szCs w:val="28"/>
        </w:rPr>
        <w:t xml:space="preserve">, los efectos negativos serán mucho mayores para la población venezolana. </w:t>
      </w:r>
      <w:r w:rsidR="00B0491D">
        <w:rPr>
          <w:rFonts w:ascii="Times New Roman" w:hAnsi="Times New Roman" w:cs="Times New Roman"/>
          <w:sz w:val="28"/>
          <w:szCs w:val="28"/>
        </w:rPr>
        <w:t>Las ciudades fronterizas colombianas se habían convertido en fuentes significativas de aprovisionamiento de bienes básicos para muchos residentes venezolanos</w:t>
      </w:r>
      <w:r w:rsidR="00F41C0E">
        <w:rPr>
          <w:rFonts w:ascii="Times New Roman" w:hAnsi="Times New Roman" w:cs="Times New Roman"/>
          <w:sz w:val="28"/>
          <w:szCs w:val="28"/>
        </w:rPr>
        <w:t xml:space="preserve">. </w:t>
      </w:r>
      <w:r w:rsidR="00564561">
        <w:rPr>
          <w:rFonts w:ascii="Times New Roman" w:hAnsi="Times New Roman" w:cs="Times New Roman"/>
          <w:sz w:val="28"/>
          <w:szCs w:val="28"/>
        </w:rPr>
        <w:t xml:space="preserve">En adelante, seguramente </w:t>
      </w:r>
      <w:r w:rsidR="00084731">
        <w:rPr>
          <w:rFonts w:ascii="Times New Roman" w:hAnsi="Times New Roman" w:cs="Times New Roman"/>
          <w:sz w:val="28"/>
          <w:szCs w:val="28"/>
        </w:rPr>
        <w:t xml:space="preserve">esta posibilidad </w:t>
      </w:r>
      <w:r w:rsidR="00A15ABB">
        <w:rPr>
          <w:rFonts w:ascii="Times New Roman" w:hAnsi="Times New Roman" w:cs="Times New Roman"/>
          <w:sz w:val="28"/>
          <w:szCs w:val="28"/>
        </w:rPr>
        <w:t xml:space="preserve">de aprovisionamiento </w:t>
      </w:r>
      <w:r w:rsidR="00084731">
        <w:rPr>
          <w:rFonts w:ascii="Times New Roman" w:hAnsi="Times New Roman" w:cs="Times New Roman"/>
          <w:sz w:val="28"/>
          <w:szCs w:val="28"/>
        </w:rPr>
        <w:t>será más difícil</w:t>
      </w:r>
      <w:r w:rsidR="00FF09C6">
        <w:rPr>
          <w:rFonts w:ascii="Times New Roman" w:hAnsi="Times New Roman" w:cs="Times New Roman"/>
          <w:sz w:val="28"/>
          <w:szCs w:val="28"/>
        </w:rPr>
        <w:t xml:space="preserve"> debido a que, ante el temor de una nueva “expropiación” decretada por el gobierno venezolano, la moneda venezolana no gozaría de la </w:t>
      </w:r>
      <w:r w:rsidR="00E314B1">
        <w:rPr>
          <w:rFonts w:ascii="Times New Roman" w:hAnsi="Times New Roman" w:cs="Times New Roman"/>
          <w:sz w:val="28"/>
          <w:szCs w:val="28"/>
        </w:rPr>
        <w:t xml:space="preserve">ya menguada </w:t>
      </w:r>
      <w:r w:rsidR="00FF09C6">
        <w:rPr>
          <w:rFonts w:ascii="Times New Roman" w:hAnsi="Times New Roman" w:cs="Times New Roman"/>
          <w:sz w:val="28"/>
          <w:szCs w:val="28"/>
        </w:rPr>
        <w:t xml:space="preserve">aceptación que había tenido hasta ahora. </w:t>
      </w:r>
      <w:r w:rsidR="00E43D1B">
        <w:rPr>
          <w:rFonts w:ascii="Times New Roman" w:hAnsi="Times New Roman" w:cs="Times New Roman"/>
          <w:sz w:val="28"/>
          <w:szCs w:val="28"/>
        </w:rPr>
        <w:t xml:space="preserve">El resultado </w:t>
      </w:r>
      <w:r w:rsidR="00FF09C6">
        <w:rPr>
          <w:rFonts w:ascii="Times New Roman" w:hAnsi="Times New Roman" w:cs="Times New Roman"/>
          <w:sz w:val="28"/>
          <w:szCs w:val="28"/>
        </w:rPr>
        <w:t xml:space="preserve">final </w:t>
      </w:r>
      <w:r w:rsidR="00E43D1B">
        <w:rPr>
          <w:rFonts w:ascii="Times New Roman" w:hAnsi="Times New Roman" w:cs="Times New Roman"/>
          <w:sz w:val="28"/>
          <w:szCs w:val="28"/>
        </w:rPr>
        <w:t>será una mayor ruina para los venezolanos.</w:t>
      </w:r>
      <w:r w:rsidR="00564561">
        <w:rPr>
          <w:rFonts w:ascii="Times New Roman" w:hAnsi="Times New Roman" w:cs="Times New Roman"/>
          <w:sz w:val="28"/>
          <w:szCs w:val="28"/>
        </w:rPr>
        <w:t xml:space="preserve"> </w:t>
      </w:r>
    </w:p>
    <w:bookmarkEnd w:id="0"/>
    <w:p w:rsidR="00455562" w:rsidRDefault="00455562" w:rsidP="00455562">
      <w:pPr>
        <w:spacing w:after="0"/>
        <w:jc w:val="center"/>
        <w:rPr>
          <w:rFonts w:ascii="Times New Roman" w:hAnsi="Times New Roman" w:cs="Times New Roman"/>
          <w:sz w:val="28"/>
          <w:szCs w:val="28"/>
        </w:rPr>
      </w:pPr>
      <w:r>
        <w:rPr>
          <w:rFonts w:ascii="Times New Roman" w:hAnsi="Times New Roman" w:cs="Times New Roman"/>
          <w:sz w:val="28"/>
          <w:szCs w:val="28"/>
        </w:rPr>
        <w:t>Gráfico 1</w:t>
      </w:r>
    </w:p>
    <w:p w:rsidR="00455562" w:rsidRDefault="00455562" w:rsidP="00455562">
      <w:pPr>
        <w:spacing w:after="0"/>
        <w:jc w:val="center"/>
        <w:rPr>
          <w:rFonts w:ascii="Times New Roman" w:hAnsi="Times New Roman" w:cs="Times New Roman"/>
          <w:sz w:val="28"/>
          <w:szCs w:val="28"/>
        </w:rPr>
      </w:pPr>
      <w:r>
        <w:rPr>
          <w:rFonts w:ascii="Times New Roman" w:hAnsi="Times New Roman" w:cs="Times New Roman"/>
          <w:sz w:val="28"/>
          <w:szCs w:val="28"/>
        </w:rPr>
        <w:t>Venezuela: Tasa de inflación anual, 2009-2016</w:t>
      </w:r>
    </w:p>
    <w:p w:rsidR="00455562" w:rsidRDefault="00455562" w:rsidP="00455562">
      <w:pPr>
        <w:spacing w:after="0"/>
        <w:jc w:val="center"/>
        <w:rPr>
          <w:rFonts w:ascii="Times New Roman" w:hAnsi="Times New Roman" w:cs="Times New Roman"/>
          <w:sz w:val="28"/>
          <w:szCs w:val="28"/>
        </w:rPr>
      </w:pPr>
      <w:r>
        <w:rPr>
          <w:rFonts w:ascii="Times New Roman" w:hAnsi="Times New Roman" w:cs="Times New Roman"/>
          <w:sz w:val="28"/>
          <w:szCs w:val="28"/>
        </w:rPr>
        <w:t>(Porcentajes)</w:t>
      </w:r>
    </w:p>
    <w:p w:rsidR="00455562" w:rsidRDefault="00455562" w:rsidP="00455562">
      <w:pPr>
        <w:spacing w:after="0"/>
        <w:jc w:val="center"/>
        <w:rPr>
          <w:rFonts w:ascii="Times New Roman" w:hAnsi="Times New Roman" w:cs="Times New Roman"/>
          <w:sz w:val="28"/>
          <w:szCs w:val="28"/>
        </w:rPr>
      </w:pPr>
      <w:r>
        <w:rPr>
          <w:noProof/>
          <w:lang w:eastAsia="es-CO"/>
        </w:rPr>
        <w:drawing>
          <wp:inline distT="0" distB="0" distL="0" distR="0" wp14:anchorId="4FFE5171" wp14:editId="6A873CEE">
            <wp:extent cx="5667375" cy="3028950"/>
            <wp:effectExtent l="0" t="0" r="9525" b="0"/>
            <wp:docPr id="1"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3028950"/>
                    </a:xfrm>
                    <a:prstGeom prst="rect">
                      <a:avLst/>
                    </a:prstGeom>
                    <a:noFill/>
                    <a:extLst/>
                  </pic:spPr>
                </pic:pic>
              </a:graphicData>
            </a:graphic>
          </wp:inline>
        </w:drawing>
      </w:r>
    </w:p>
    <w:p w:rsidR="00455562" w:rsidRDefault="00455562" w:rsidP="00455562">
      <w:pPr>
        <w:jc w:val="both"/>
        <w:rPr>
          <w:rFonts w:ascii="Times New Roman" w:hAnsi="Times New Roman" w:cs="Times New Roman"/>
          <w:sz w:val="20"/>
          <w:szCs w:val="20"/>
        </w:rPr>
      </w:pPr>
      <w:r w:rsidRPr="00024578">
        <w:rPr>
          <w:rFonts w:ascii="Times New Roman" w:hAnsi="Times New Roman" w:cs="Times New Roman"/>
          <w:sz w:val="20"/>
          <w:szCs w:val="20"/>
        </w:rPr>
        <w:t xml:space="preserve">Fuente: Banco Central de Venezuela. </w:t>
      </w:r>
      <w:r>
        <w:rPr>
          <w:rFonts w:ascii="Times New Roman" w:hAnsi="Times New Roman" w:cs="Times New Roman"/>
          <w:sz w:val="20"/>
          <w:szCs w:val="20"/>
        </w:rPr>
        <w:t xml:space="preserve">En 2016 corresponde a la inflación acumulada enero-agosto. </w:t>
      </w:r>
    </w:p>
    <w:p w:rsidR="00E4486E" w:rsidRDefault="004A6083" w:rsidP="005173C3">
      <w:pPr>
        <w:spacing w:after="0"/>
        <w:jc w:val="both"/>
        <w:rPr>
          <w:rFonts w:ascii="Times New Roman" w:hAnsi="Times New Roman" w:cs="Times New Roman"/>
          <w:sz w:val="28"/>
          <w:szCs w:val="28"/>
        </w:rPr>
      </w:pPr>
      <w:r>
        <w:rPr>
          <w:rFonts w:ascii="Times New Roman" w:hAnsi="Times New Roman" w:cs="Times New Roman"/>
          <w:sz w:val="28"/>
          <w:szCs w:val="28"/>
        </w:rPr>
        <w:t xml:space="preserve">¿Qué puede decirse de la efectividad del cierre de la frontera para enfrentar la escasez de bienes y la alta tasa de inflación venezolanas? </w:t>
      </w:r>
      <w:r w:rsidR="0013173A">
        <w:rPr>
          <w:rFonts w:ascii="Times New Roman" w:hAnsi="Times New Roman" w:cs="Times New Roman"/>
          <w:sz w:val="28"/>
          <w:szCs w:val="28"/>
        </w:rPr>
        <w:t>En el gráfico 1 puede observarse que la inflación aumentó antes, durante y después del cierre de la frontera en</w:t>
      </w:r>
      <w:r w:rsidR="00082D98">
        <w:rPr>
          <w:rFonts w:ascii="Times New Roman" w:hAnsi="Times New Roman" w:cs="Times New Roman"/>
          <w:sz w:val="28"/>
          <w:szCs w:val="28"/>
        </w:rPr>
        <w:t xml:space="preserve">tre mediados de </w:t>
      </w:r>
      <w:r w:rsidR="0013173A">
        <w:rPr>
          <w:rFonts w:ascii="Times New Roman" w:hAnsi="Times New Roman" w:cs="Times New Roman"/>
          <w:sz w:val="28"/>
          <w:szCs w:val="28"/>
        </w:rPr>
        <w:t>201</w:t>
      </w:r>
      <w:r w:rsidR="00082D98">
        <w:rPr>
          <w:rFonts w:ascii="Times New Roman" w:hAnsi="Times New Roman" w:cs="Times New Roman"/>
          <w:sz w:val="28"/>
          <w:szCs w:val="28"/>
        </w:rPr>
        <w:t xml:space="preserve">5 y </w:t>
      </w:r>
      <w:r w:rsidR="00B268B6">
        <w:rPr>
          <w:rFonts w:ascii="Times New Roman" w:hAnsi="Times New Roman" w:cs="Times New Roman"/>
          <w:sz w:val="28"/>
          <w:szCs w:val="28"/>
        </w:rPr>
        <w:t xml:space="preserve">mediados de </w:t>
      </w:r>
      <w:r w:rsidR="00082D98">
        <w:rPr>
          <w:rFonts w:ascii="Times New Roman" w:hAnsi="Times New Roman" w:cs="Times New Roman"/>
          <w:sz w:val="28"/>
          <w:szCs w:val="28"/>
        </w:rPr>
        <w:t>2016</w:t>
      </w:r>
      <w:r w:rsidR="00652AFA" w:rsidRPr="00652AFA">
        <w:rPr>
          <w:rFonts w:ascii="Times New Roman" w:eastAsia="Calibri" w:hAnsi="Times New Roman" w:cs="Times New Roman"/>
          <w:sz w:val="28"/>
          <w:szCs w:val="28"/>
          <w:vertAlign w:val="superscript"/>
          <w:lang w:val="es-ES_tradnl"/>
        </w:rPr>
        <w:footnoteReference w:id="2"/>
      </w:r>
      <w:r w:rsidR="0013173A">
        <w:rPr>
          <w:rFonts w:ascii="Times New Roman" w:hAnsi="Times New Roman" w:cs="Times New Roman"/>
          <w:sz w:val="28"/>
          <w:szCs w:val="28"/>
        </w:rPr>
        <w:t>.</w:t>
      </w:r>
      <w:r w:rsidR="00F61F85">
        <w:rPr>
          <w:rFonts w:ascii="Times New Roman" w:hAnsi="Times New Roman" w:cs="Times New Roman"/>
          <w:sz w:val="28"/>
          <w:szCs w:val="28"/>
        </w:rPr>
        <w:t xml:space="preserve"> Entonces, ¿d</w:t>
      </w:r>
      <w:r w:rsidR="00995E35">
        <w:rPr>
          <w:rFonts w:ascii="Times New Roman" w:hAnsi="Times New Roman" w:cs="Times New Roman"/>
          <w:sz w:val="28"/>
          <w:szCs w:val="28"/>
        </w:rPr>
        <w:t>ó</w:t>
      </w:r>
      <w:r w:rsidR="00F61F85">
        <w:rPr>
          <w:rFonts w:ascii="Times New Roman" w:hAnsi="Times New Roman" w:cs="Times New Roman"/>
          <w:sz w:val="28"/>
          <w:szCs w:val="28"/>
        </w:rPr>
        <w:t xml:space="preserve">nde </w:t>
      </w:r>
      <w:r w:rsidR="00F61F85">
        <w:rPr>
          <w:rFonts w:ascii="Times New Roman" w:hAnsi="Times New Roman" w:cs="Times New Roman"/>
          <w:sz w:val="28"/>
          <w:szCs w:val="28"/>
        </w:rPr>
        <w:lastRenderedPageBreak/>
        <w:t>queda el argumento del Presidente venezolano del contrabando de bienes desde Venezuela hacia Colombia como causa de la escasez y la inflación en dicho país?</w:t>
      </w:r>
      <w:r w:rsidR="0013173A">
        <w:rPr>
          <w:rFonts w:ascii="Times New Roman" w:hAnsi="Times New Roman" w:cs="Times New Roman"/>
          <w:sz w:val="28"/>
          <w:szCs w:val="28"/>
        </w:rPr>
        <w:t xml:space="preserve"> </w:t>
      </w:r>
    </w:p>
    <w:p w:rsidR="00455562" w:rsidRDefault="00455562" w:rsidP="00455562">
      <w:pPr>
        <w:spacing w:before="240"/>
        <w:jc w:val="both"/>
        <w:rPr>
          <w:rFonts w:ascii="Times New Roman" w:hAnsi="Times New Roman" w:cs="Times New Roman"/>
          <w:sz w:val="28"/>
          <w:szCs w:val="28"/>
        </w:rPr>
      </w:pPr>
      <w:r>
        <w:rPr>
          <w:rFonts w:ascii="Times New Roman" w:hAnsi="Times New Roman" w:cs="Times New Roman"/>
          <w:sz w:val="28"/>
          <w:szCs w:val="28"/>
        </w:rPr>
        <w:t xml:space="preserve">De todas maneras, cabe resaltar que antes del rápido aumento desde 2013, la inflación venezolana (por ejemplo, entre 19,5% y 26,9% en los cuatro años anteriores) era ya alta, por lo menos, en el concierto latinoamericano. O, en otras palabras, Venezuela se apartaba completamente de la tendencia latinoamericana de inflaciones de un dígito, aunque su situación no era tan crítica como se presentaría posteriormente.  </w:t>
      </w:r>
    </w:p>
    <w:p w:rsidR="00455562" w:rsidRDefault="00455562" w:rsidP="00455562">
      <w:pPr>
        <w:spacing w:after="0"/>
        <w:jc w:val="center"/>
        <w:rPr>
          <w:rFonts w:ascii="Times New Roman" w:hAnsi="Times New Roman" w:cs="Times New Roman"/>
          <w:sz w:val="28"/>
          <w:szCs w:val="28"/>
        </w:rPr>
      </w:pPr>
      <w:r>
        <w:rPr>
          <w:rFonts w:ascii="Times New Roman" w:hAnsi="Times New Roman" w:cs="Times New Roman"/>
          <w:sz w:val="28"/>
          <w:szCs w:val="28"/>
        </w:rPr>
        <w:t>Gráfico 2</w:t>
      </w:r>
    </w:p>
    <w:p w:rsidR="00455562" w:rsidRDefault="00455562" w:rsidP="00455562">
      <w:pPr>
        <w:spacing w:after="0"/>
        <w:jc w:val="center"/>
        <w:rPr>
          <w:rFonts w:ascii="Times New Roman" w:hAnsi="Times New Roman" w:cs="Times New Roman"/>
          <w:sz w:val="28"/>
          <w:szCs w:val="28"/>
        </w:rPr>
      </w:pPr>
      <w:r>
        <w:rPr>
          <w:rFonts w:ascii="Times New Roman" w:hAnsi="Times New Roman" w:cs="Times New Roman"/>
          <w:sz w:val="28"/>
          <w:szCs w:val="28"/>
        </w:rPr>
        <w:t>Venezuela: Crecimiento de la oferta monetaria e inflación, 1993-2015</w:t>
      </w:r>
    </w:p>
    <w:p w:rsidR="00455562" w:rsidRDefault="00455562" w:rsidP="00455562">
      <w:pPr>
        <w:spacing w:after="0"/>
        <w:jc w:val="center"/>
        <w:rPr>
          <w:rFonts w:ascii="Times New Roman" w:hAnsi="Times New Roman" w:cs="Times New Roman"/>
          <w:sz w:val="28"/>
          <w:szCs w:val="28"/>
        </w:rPr>
      </w:pPr>
      <w:r>
        <w:rPr>
          <w:noProof/>
          <w:lang w:eastAsia="es-CO"/>
        </w:rPr>
        <w:drawing>
          <wp:inline distT="0" distB="0" distL="0" distR="0" wp14:anchorId="2DF286E9" wp14:editId="4C2E74BB">
            <wp:extent cx="5553075" cy="2790825"/>
            <wp:effectExtent l="0" t="0" r="9525" b="9525"/>
            <wp:docPr id="2" name="1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2790825"/>
                    </a:xfrm>
                    <a:prstGeom prst="rect">
                      <a:avLst/>
                    </a:prstGeom>
                    <a:noFill/>
                    <a:extLst/>
                  </pic:spPr>
                </pic:pic>
              </a:graphicData>
            </a:graphic>
          </wp:inline>
        </w:drawing>
      </w:r>
    </w:p>
    <w:p w:rsidR="00455562" w:rsidRDefault="00455562" w:rsidP="00455562">
      <w:pPr>
        <w:jc w:val="both"/>
        <w:rPr>
          <w:rFonts w:ascii="Times New Roman" w:hAnsi="Times New Roman" w:cs="Times New Roman"/>
          <w:sz w:val="20"/>
          <w:szCs w:val="20"/>
        </w:rPr>
      </w:pPr>
      <w:r w:rsidRPr="00024578">
        <w:rPr>
          <w:rFonts w:ascii="Times New Roman" w:hAnsi="Times New Roman" w:cs="Times New Roman"/>
          <w:sz w:val="20"/>
          <w:szCs w:val="20"/>
        </w:rPr>
        <w:t xml:space="preserve">Fuente: Banco Central de Venezuela. </w:t>
      </w:r>
      <w:r>
        <w:rPr>
          <w:rFonts w:ascii="Times New Roman" w:hAnsi="Times New Roman" w:cs="Times New Roman"/>
          <w:sz w:val="20"/>
          <w:szCs w:val="20"/>
        </w:rPr>
        <w:t xml:space="preserve"> </w:t>
      </w:r>
    </w:p>
    <w:p w:rsidR="00A45A74" w:rsidRDefault="00F61F85" w:rsidP="00024578">
      <w:pPr>
        <w:jc w:val="both"/>
        <w:rPr>
          <w:rFonts w:ascii="Times New Roman" w:hAnsi="Times New Roman" w:cs="Times New Roman"/>
          <w:sz w:val="28"/>
          <w:szCs w:val="28"/>
        </w:rPr>
      </w:pPr>
      <w:r>
        <w:rPr>
          <w:rFonts w:ascii="Times New Roman" w:hAnsi="Times New Roman" w:cs="Times New Roman"/>
          <w:sz w:val="28"/>
          <w:szCs w:val="28"/>
        </w:rPr>
        <w:t>La explicación de la fuerte inflación venezolan</w:t>
      </w:r>
      <w:r w:rsidR="00DB5EFE">
        <w:rPr>
          <w:rFonts w:ascii="Times New Roman" w:hAnsi="Times New Roman" w:cs="Times New Roman"/>
          <w:sz w:val="28"/>
          <w:szCs w:val="28"/>
        </w:rPr>
        <w:t>a es de teoría e</w:t>
      </w:r>
      <w:r w:rsidR="00603DDE">
        <w:rPr>
          <w:rFonts w:ascii="Times New Roman" w:hAnsi="Times New Roman" w:cs="Times New Roman"/>
          <w:sz w:val="28"/>
          <w:szCs w:val="28"/>
        </w:rPr>
        <w:t>conómica básica:</w:t>
      </w:r>
      <w:r w:rsidR="00DB5EFE">
        <w:rPr>
          <w:rFonts w:ascii="Times New Roman" w:hAnsi="Times New Roman" w:cs="Times New Roman"/>
          <w:sz w:val="28"/>
          <w:szCs w:val="28"/>
        </w:rPr>
        <w:t xml:space="preserve"> En el mediano o largo plazo, la inflación es esencialmente un fenómeno monetario.</w:t>
      </w:r>
      <w:r>
        <w:rPr>
          <w:rFonts w:ascii="Times New Roman" w:hAnsi="Times New Roman" w:cs="Times New Roman"/>
          <w:sz w:val="28"/>
          <w:szCs w:val="28"/>
        </w:rPr>
        <w:t xml:space="preserve"> </w:t>
      </w:r>
      <w:r w:rsidR="00DB5EFE">
        <w:rPr>
          <w:rFonts w:ascii="Times New Roman" w:hAnsi="Times New Roman" w:cs="Times New Roman"/>
          <w:sz w:val="28"/>
          <w:szCs w:val="28"/>
        </w:rPr>
        <w:t xml:space="preserve">En el gráfico 2 puede observarse que la reducción de la inflación </w:t>
      </w:r>
      <w:r>
        <w:rPr>
          <w:rFonts w:ascii="Times New Roman" w:hAnsi="Times New Roman" w:cs="Times New Roman"/>
          <w:sz w:val="28"/>
          <w:szCs w:val="28"/>
        </w:rPr>
        <w:t>en</w:t>
      </w:r>
      <w:r w:rsidR="00DB5EFE">
        <w:rPr>
          <w:rFonts w:ascii="Times New Roman" w:hAnsi="Times New Roman" w:cs="Times New Roman"/>
          <w:sz w:val="28"/>
          <w:szCs w:val="28"/>
        </w:rPr>
        <w:t>tre 1993 y 2001 estuvo asociada con una caída en la tasa de crecimiento de la oferta monetaria</w:t>
      </w:r>
      <w:r w:rsidR="005B1892">
        <w:rPr>
          <w:rFonts w:ascii="Times New Roman" w:hAnsi="Times New Roman" w:cs="Times New Roman"/>
          <w:sz w:val="28"/>
          <w:szCs w:val="28"/>
        </w:rPr>
        <w:t>. Por su parte, la estabilidad de la inflación observada entre 2001 y 20</w:t>
      </w:r>
      <w:r w:rsidR="00B268B6">
        <w:rPr>
          <w:rFonts w:ascii="Times New Roman" w:hAnsi="Times New Roman" w:cs="Times New Roman"/>
          <w:sz w:val="28"/>
          <w:szCs w:val="28"/>
        </w:rPr>
        <w:t>12</w:t>
      </w:r>
      <w:r w:rsidR="005B1892">
        <w:rPr>
          <w:rFonts w:ascii="Times New Roman" w:hAnsi="Times New Roman" w:cs="Times New Roman"/>
          <w:sz w:val="28"/>
          <w:szCs w:val="28"/>
        </w:rPr>
        <w:t xml:space="preserve"> está acompañada de una expansión monetaria </w:t>
      </w:r>
      <w:r w:rsidR="005B1892">
        <w:rPr>
          <w:rFonts w:ascii="Times New Roman" w:hAnsi="Times New Roman" w:cs="Times New Roman"/>
          <w:sz w:val="28"/>
          <w:szCs w:val="28"/>
        </w:rPr>
        <w:lastRenderedPageBreak/>
        <w:t>relativamente estable y baja, exceptuando el pico de 200</w:t>
      </w:r>
      <w:r w:rsidR="00B268B6">
        <w:rPr>
          <w:rFonts w:ascii="Times New Roman" w:hAnsi="Times New Roman" w:cs="Times New Roman"/>
          <w:sz w:val="28"/>
          <w:szCs w:val="28"/>
        </w:rPr>
        <w:t>6. En cambio, en el período 2013</w:t>
      </w:r>
      <w:r w:rsidR="005B1892">
        <w:rPr>
          <w:rFonts w:ascii="Times New Roman" w:hAnsi="Times New Roman" w:cs="Times New Roman"/>
          <w:sz w:val="28"/>
          <w:szCs w:val="28"/>
        </w:rPr>
        <w:t xml:space="preserve">-2015 se observa un aumento sostenido de la tasa de crecimiento de la oferta monetaria y de la inflación. </w:t>
      </w:r>
      <w:r w:rsidR="0063758A">
        <w:rPr>
          <w:rFonts w:ascii="Times New Roman" w:hAnsi="Times New Roman" w:cs="Times New Roman"/>
          <w:sz w:val="28"/>
          <w:szCs w:val="28"/>
        </w:rPr>
        <w:t>En consecuencia, como la inflación es ta</w:t>
      </w:r>
      <w:r w:rsidR="00A45A74">
        <w:rPr>
          <w:rFonts w:ascii="Times New Roman" w:hAnsi="Times New Roman" w:cs="Times New Roman"/>
          <w:sz w:val="28"/>
          <w:szCs w:val="28"/>
        </w:rPr>
        <w:t>n alta, la fuerte pérdida de valor de la moneda conduce a que las personas tengan que cargar grandes cantidades de billetes para comprar cualquier cosa.</w:t>
      </w:r>
      <w:r w:rsidR="00B81E9C">
        <w:rPr>
          <w:rFonts w:ascii="Times New Roman" w:hAnsi="Times New Roman" w:cs="Times New Roman"/>
          <w:sz w:val="28"/>
          <w:szCs w:val="28"/>
        </w:rPr>
        <w:t xml:space="preserve"> La forma de aminorar un poco estas grandes cantidades es una alta preferencia por billetes de alta denominación</w:t>
      </w:r>
      <w:r w:rsidR="001178CA">
        <w:rPr>
          <w:rFonts w:ascii="Times New Roman" w:hAnsi="Times New Roman" w:cs="Times New Roman"/>
          <w:sz w:val="28"/>
          <w:szCs w:val="28"/>
        </w:rPr>
        <w:t xml:space="preserve"> (por ejemplo, los billetes de 100 bolívares)</w:t>
      </w:r>
      <w:r w:rsidR="00B81E9C">
        <w:rPr>
          <w:rFonts w:ascii="Times New Roman" w:hAnsi="Times New Roman" w:cs="Times New Roman"/>
          <w:sz w:val="28"/>
          <w:szCs w:val="28"/>
        </w:rPr>
        <w:t>.</w:t>
      </w:r>
      <w:r w:rsidR="00237CB9">
        <w:rPr>
          <w:rFonts w:ascii="Times New Roman" w:hAnsi="Times New Roman" w:cs="Times New Roman"/>
          <w:sz w:val="28"/>
          <w:szCs w:val="28"/>
        </w:rPr>
        <w:t xml:space="preserve"> </w:t>
      </w:r>
    </w:p>
    <w:p w:rsidR="005173C3" w:rsidRDefault="005173C3" w:rsidP="005173C3">
      <w:pPr>
        <w:jc w:val="both"/>
        <w:rPr>
          <w:rFonts w:ascii="Times New Roman" w:hAnsi="Times New Roman" w:cs="Times New Roman"/>
          <w:sz w:val="28"/>
          <w:szCs w:val="28"/>
        </w:rPr>
      </w:pPr>
      <w:r>
        <w:rPr>
          <w:rFonts w:ascii="Times New Roman" w:hAnsi="Times New Roman" w:cs="Times New Roman"/>
          <w:sz w:val="28"/>
          <w:szCs w:val="28"/>
        </w:rPr>
        <w:t xml:space="preserve">La expresión de que “los billetes ya no se cuentan,  ahora se pesan” ilustra la pérdida de valor de la moneda venezolana. De continuar la mega o hiperinflación, los nuevos billetes de mayor denominación que entrarán en circulación más temprano que tarde tendrán también que ser pesados antes que contados.       </w:t>
      </w:r>
    </w:p>
    <w:p w:rsidR="005F683B" w:rsidRDefault="005F683B" w:rsidP="005F683B">
      <w:pPr>
        <w:spacing w:after="0"/>
        <w:jc w:val="both"/>
        <w:rPr>
          <w:rFonts w:ascii="Times New Roman" w:hAnsi="Times New Roman" w:cs="Times New Roman"/>
          <w:sz w:val="28"/>
          <w:szCs w:val="28"/>
        </w:rPr>
      </w:pPr>
      <w:r>
        <w:rPr>
          <w:rFonts w:ascii="Times New Roman" w:hAnsi="Times New Roman" w:cs="Times New Roman"/>
          <w:sz w:val="28"/>
          <w:szCs w:val="28"/>
        </w:rPr>
        <w:t>El exceso de crecimiento monetario puede observarse en el cuadro 1.</w:t>
      </w:r>
      <w:r w:rsidR="00F07560">
        <w:rPr>
          <w:rFonts w:ascii="Times New Roman" w:hAnsi="Times New Roman" w:cs="Times New Roman"/>
          <w:sz w:val="28"/>
          <w:szCs w:val="28"/>
        </w:rPr>
        <w:t xml:space="preserve"> Claramente, la mayor inflación anual promedio en el período 2013-2015 está acompañada de la más alta tasa de crecimiento monetario y del más bajo crecimiento del PIB real</w:t>
      </w:r>
      <w:r w:rsidR="00080660" w:rsidRPr="00652AFA">
        <w:rPr>
          <w:rFonts w:ascii="Times New Roman" w:eastAsia="Calibri" w:hAnsi="Times New Roman" w:cs="Times New Roman"/>
          <w:sz w:val="28"/>
          <w:szCs w:val="28"/>
          <w:vertAlign w:val="superscript"/>
          <w:lang w:val="es-ES_tradnl"/>
        </w:rPr>
        <w:footnoteReference w:id="3"/>
      </w:r>
      <w:r w:rsidR="00F07560">
        <w:rPr>
          <w:rFonts w:ascii="Times New Roman" w:hAnsi="Times New Roman" w:cs="Times New Roman"/>
          <w:sz w:val="28"/>
          <w:szCs w:val="28"/>
        </w:rPr>
        <w:t xml:space="preserve">. </w:t>
      </w:r>
    </w:p>
    <w:p w:rsidR="002F5578" w:rsidRDefault="002F5578" w:rsidP="002F5578">
      <w:pPr>
        <w:spacing w:after="0"/>
        <w:jc w:val="center"/>
        <w:rPr>
          <w:rFonts w:ascii="Times New Roman" w:hAnsi="Times New Roman" w:cs="Times New Roman"/>
          <w:sz w:val="28"/>
          <w:szCs w:val="28"/>
        </w:rPr>
      </w:pPr>
      <w:r>
        <w:rPr>
          <w:rFonts w:ascii="Times New Roman" w:hAnsi="Times New Roman" w:cs="Times New Roman"/>
          <w:sz w:val="28"/>
          <w:szCs w:val="28"/>
        </w:rPr>
        <w:t>Cuadro 1</w:t>
      </w:r>
    </w:p>
    <w:p w:rsidR="002F5578" w:rsidRDefault="002F5578" w:rsidP="002F5578">
      <w:pPr>
        <w:spacing w:after="0"/>
        <w:jc w:val="center"/>
        <w:rPr>
          <w:rFonts w:ascii="Times New Roman" w:hAnsi="Times New Roman" w:cs="Times New Roman"/>
          <w:sz w:val="28"/>
          <w:szCs w:val="28"/>
        </w:rPr>
      </w:pPr>
      <w:r>
        <w:rPr>
          <w:rFonts w:ascii="Times New Roman" w:hAnsi="Times New Roman" w:cs="Times New Roman"/>
          <w:sz w:val="28"/>
          <w:szCs w:val="28"/>
        </w:rPr>
        <w:t xml:space="preserve">Venezuela: Tasas de crecimiento anual de la oferta monetaria, del IPC y del PIB real (porcentajes) </w:t>
      </w:r>
    </w:p>
    <w:tbl>
      <w:tblPr>
        <w:tblW w:w="7120" w:type="dxa"/>
        <w:jc w:val="center"/>
        <w:tblCellMar>
          <w:left w:w="70" w:type="dxa"/>
          <w:right w:w="70" w:type="dxa"/>
        </w:tblCellMar>
        <w:tblLook w:val="04A0" w:firstRow="1" w:lastRow="0" w:firstColumn="1" w:lastColumn="0" w:noHBand="0" w:noVBand="1"/>
      </w:tblPr>
      <w:tblGrid>
        <w:gridCol w:w="1780"/>
        <w:gridCol w:w="1780"/>
        <w:gridCol w:w="1780"/>
        <w:gridCol w:w="1780"/>
      </w:tblGrid>
      <w:tr w:rsidR="005F683B" w:rsidRPr="005F683B" w:rsidTr="005F683B">
        <w:trPr>
          <w:trHeight w:val="330"/>
          <w:jc w:val="center"/>
        </w:trPr>
        <w:tc>
          <w:tcPr>
            <w:tcW w:w="1780"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Período</w:t>
            </w:r>
          </w:p>
        </w:tc>
        <w:tc>
          <w:tcPr>
            <w:tcW w:w="1780" w:type="dxa"/>
            <w:tcBorders>
              <w:top w:val="single" w:sz="12" w:space="0" w:color="auto"/>
              <w:left w:val="nil"/>
              <w:bottom w:val="single" w:sz="8" w:space="0" w:color="auto"/>
              <w:right w:val="single" w:sz="8" w:space="0" w:color="auto"/>
            </w:tcBorders>
            <w:shd w:val="clear" w:color="auto" w:fill="auto"/>
            <w:noWrap/>
            <w:vAlign w:val="bottom"/>
            <w:hideMark/>
          </w:tcPr>
          <w:p w:rsidR="005F683B" w:rsidRPr="005F683B" w:rsidRDefault="005F683B" w:rsidP="005F683B">
            <w:pPr>
              <w:spacing w:after="0" w:line="240" w:lineRule="auto"/>
              <w:rPr>
                <w:rFonts w:ascii="Calibri" w:eastAsia="Times New Roman" w:hAnsi="Calibri" w:cs="Calibri"/>
                <w:color w:val="000000"/>
                <w:lang w:eastAsia="es-CO"/>
              </w:rPr>
            </w:pPr>
            <w:r w:rsidRPr="005F683B">
              <w:rPr>
                <w:rFonts w:ascii="Calibri" w:eastAsia="Times New Roman" w:hAnsi="Calibri" w:cs="Calibri"/>
                <w:color w:val="000000"/>
                <w:lang w:eastAsia="es-CO"/>
              </w:rPr>
              <w:t>Oferta monetaria</w:t>
            </w:r>
          </w:p>
        </w:tc>
        <w:tc>
          <w:tcPr>
            <w:tcW w:w="1780" w:type="dxa"/>
            <w:tcBorders>
              <w:top w:val="single" w:sz="12" w:space="0" w:color="auto"/>
              <w:left w:val="nil"/>
              <w:bottom w:val="single" w:sz="8" w:space="0" w:color="auto"/>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IPC</w:t>
            </w:r>
          </w:p>
        </w:tc>
        <w:tc>
          <w:tcPr>
            <w:tcW w:w="1780" w:type="dxa"/>
            <w:tcBorders>
              <w:top w:val="single" w:sz="12" w:space="0" w:color="auto"/>
              <w:left w:val="nil"/>
              <w:bottom w:val="single" w:sz="8" w:space="0" w:color="auto"/>
              <w:right w:val="single" w:sz="12"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PIB real</w:t>
            </w:r>
          </w:p>
        </w:tc>
      </w:tr>
      <w:tr w:rsidR="005F683B" w:rsidRPr="005F683B" w:rsidTr="005F683B">
        <w:trPr>
          <w:trHeight w:val="300"/>
          <w:jc w:val="center"/>
        </w:trPr>
        <w:tc>
          <w:tcPr>
            <w:tcW w:w="1780" w:type="dxa"/>
            <w:tcBorders>
              <w:top w:val="nil"/>
              <w:left w:val="single" w:sz="12" w:space="0" w:color="auto"/>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1993-2001</w:t>
            </w:r>
          </w:p>
        </w:tc>
        <w:tc>
          <w:tcPr>
            <w:tcW w:w="1780" w:type="dxa"/>
            <w:tcBorders>
              <w:top w:val="nil"/>
              <w:left w:val="nil"/>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41,6</w:t>
            </w:r>
          </w:p>
        </w:tc>
        <w:tc>
          <w:tcPr>
            <w:tcW w:w="1780" w:type="dxa"/>
            <w:tcBorders>
              <w:top w:val="nil"/>
              <w:left w:val="nil"/>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40,8</w:t>
            </w:r>
          </w:p>
        </w:tc>
        <w:tc>
          <w:tcPr>
            <w:tcW w:w="1780" w:type="dxa"/>
            <w:tcBorders>
              <w:top w:val="nil"/>
              <w:left w:val="nil"/>
              <w:bottom w:val="nil"/>
              <w:right w:val="single" w:sz="12"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1,0</w:t>
            </w:r>
          </w:p>
        </w:tc>
      </w:tr>
      <w:tr w:rsidR="005F683B" w:rsidRPr="005F683B" w:rsidTr="005F683B">
        <w:trPr>
          <w:trHeight w:val="300"/>
          <w:jc w:val="center"/>
        </w:trPr>
        <w:tc>
          <w:tcPr>
            <w:tcW w:w="1780" w:type="dxa"/>
            <w:tcBorders>
              <w:top w:val="nil"/>
              <w:left w:val="single" w:sz="12" w:space="0" w:color="auto"/>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2002-2012</w:t>
            </w:r>
          </w:p>
        </w:tc>
        <w:tc>
          <w:tcPr>
            <w:tcW w:w="1780" w:type="dxa"/>
            <w:tcBorders>
              <w:top w:val="nil"/>
              <w:left w:val="nil"/>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48,5</w:t>
            </w:r>
          </w:p>
        </w:tc>
        <w:tc>
          <w:tcPr>
            <w:tcW w:w="1780" w:type="dxa"/>
            <w:tcBorders>
              <w:top w:val="nil"/>
              <w:left w:val="nil"/>
              <w:bottom w:val="nil"/>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23,6</w:t>
            </w:r>
          </w:p>
        </w:tc>
        <w:tc>
          <w:tcPr>
            <w:tcW w:w="1780" w:type="dxa"/>
            <w:tcBorders>
              <w:top w:val="nil"/>
              <w:left w:val="nil"/>
              <w:bottom w:val="nil"/>
              <w:right w:val="single" w:sz="12"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3,4</w:t>
            </w:r>
          </w:p>
        </w:tc>
      </w:tr>
      <w:tr w:rsidR="005F683B" w:rsidRPr="005F683B" w:rsidTr="005F683B">
        <w:trPr>
          <w:trHeight w:val="315"/>
          <w:jc w:val="center"/>
        </w:trPr>
        <w:tc>
          <w:tcPr>
            <w:tcW w:w="1780" w:type="dxa"/>
            <w:tcBorders>
              <w:top w:val="nil"/>
              <w:left w:val="single" w:sz="12" w:space="0" w:color="auto"/>
              <w:bottom w:val="single" w:sz="12" w:space="0" w:color="auto"/>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2013-2015</w:t>
            </w:r>
          </w:p>
        </w:tc>
        <w:tc>
          <w:tcPr>
            <w:tcW w:w="1780" w:type="dxa"/>
            <w:tcBorders>
              <w:top w:val="nil"/>
              <w:left w:val="nil"/>
              <w:bottom w:val="single" w:sz="12" w:space="0" w:color="auto"/>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77,6</w:t>
            </w:r>
          </w:p>
        </w:tc>
        <w:tc>
          <w:tcPr>
            <w:tcW w:w="1780" w:type="dxa"/>
            <w:tcBorders>
              <w:top w:val="nil"/>
              <w:left w:val="nil"/>
              <w:bottom w:val="single" w:sz="12" w:space="0" w:color="auto"/>
              <w:right w:val="single" w:sz="8"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94,8</w:t>
            </w:r>
          </w:p>
        </w:tc>
        <w:tc>
          <w:tcPr>
            <w:tcW w:w="1780" w:type="dxa"/>
            <w:tcBorders>
              <w:top w:val="nil"/>
              <w:left w:val="nil"/>
              <w:bottom w:val="single" w:sz="12" w:space="0" w:color="auto"/>
              <w:right w:val="single" w:sz="12" w:space="0" w:color="auto"/>
            </w:tcBorders>
            <w:shd w:val="clear" w:color="auto" w:fill="auto"/>
            <w:noWrap/>
            <w:vAlign w:val="bottom"/>
            <w:hideMark/>
          </w:tcPr>
          <w:p w:rsidR="005F683B" w:rsidRPr="005F683B" w:rsidRDefault="005F683B" w:rsidP="005F683B">
            <w:pPr>
              <w:spacing w:after="0" w:line="240" w:lineRule="auto"/>
              <w:jc w:val="center"/>
              <w:rPr>
                <w:rFonts w:ascii="Calibri" w:eastAsia="Times New Roman" w:hAnsi="Calibri" w:cs="Calibri"/>
                <w:color w:val="000000"/>
                <w:lang w:eastAsia="es-CO"/>
              </w:rPr>
            </w:pPr>
            <w:r w:rsidRPr="005F683B">
              <w:rPr>
                <w:rFonts w:ascii="Calibri" w:eastAsia="Times New Roman" w:hAnsi="Calibri" w:cs="Calibri"/>
                <w:color w:val="000000"/>
                <w:lang w:eastAsia="es-CO"/>
              </w:rPr>
              <w:t>-2,8</w:t>
            </w:r>
          </w:p>
        </w:tc>
      </w:tr>
    </w:tbl>
    <w:p w:rsidR="002F5578" w:rsidRDefault="002F5578" w:rsidP="002F5578">
      <w:pPr>
        <w:jc w:val="both"/>
        <w:rPr>
          <w:rFonts w:ascii="Times New Roman" w:hAnsi="Times New Roman" w:cs="Times New Roman"/>
          <w:sz w:val="20"/>
          <w:szCs w:val="20"/>
        </w:rPr>
      </w:pPr>
      <w:r>
        <w:rPr>
          <w:rFonts w:ascii="Times New Roman" w:hAnsi="Times New Roman" w:cs="Times New Roman"/>
          <w:sz w:val="20"/>
          <w:szCs w:val="20"/>
        </w:rPr>
        <w:t xml:space="preserve">                </w:t>
      </w:r>
      <w:r w:rsidRPr="002F5578">
        <w:rPr>
          <w:rFonts w:ascii="Times New Roman" w:hAnsi="Times New Roman" w:cs="Times New Roman"/>
          <w:sz w:val="20"/>
          <w:szCs w:val="20"/>
        </w:rPr>
        <w:t xml:space="preserve">Fuente: Banco Central de Venezuela. Cálculos propios. </w:t>
      </w:r>
    </w:p>
    <w:p w:rsidR="005173C3" w:rsidRDefault="00A72AA0" w:rsidP="002F5578">
      <w:pPr>
        <w:jc w:val="both"/>
        <w:rPr>
          <w:rFonts w:ascii="Times New Roman" w:hAnsi="Times New Roman" w:cs="Times New Roman"/>
          <w:sz w:val="28"/>
          <w:szCs w:val="28"/>
        </w:rPr>
      </w:pPr>
      <w:r>
        <w:rPr>
          <w:rFonts w:ascii="Times New Roman" w:hAnsi="Times New Roman" w:cs="Times New Roman"/>
          <w:sz w:val="28"/>
          <w:szCs w:val="28"/>
        </w:rPr>
        <w:t xml:space="preserve">¿Por qué el crecimiento tan alto de la oferta monetaria? </w:t>
      </w:r>
      <w:r w:rsidR="00701B0A">
        <w:rPr>
          <w:rFonts w:ascii="Times New Roman" w:hAnsi="Times New Roman" w:cs="Times New Roman"/>
          <w:sz w:val="28"/>
          <w:szCs w:val="28"/>
        </w:rPr>
        <w:t>P</w:t>
      </w:r>
      <w:r w:rsidR="003F694D">
        <w:rPr>
          <w:rFonts w:ascii="Times New Roman" w:hAnsi="Times New Roman" w:cs="Times New Roman"/>
          <w:sz w:val="28"/>
          <w:szCs w:val="28"/>
        </w:rPr>
        <w:t>orque</w:t>
      </w:r>
      <w:r w:rsidR="00407820">
        <w:rPr>
          <w:rFonts w:ascii="Times New Roman" w:hAnsi="Times New Roman" w:cs="Times New Roman"/>
          <w:sz w:val="28"/>
          <w:szCs w:val="28"/>
        </w:rPr>
        <w:t xml:space="preserve"> los ingresos por impuestos y endeudamiento en los mercados interno y externo del Gobierno venezolano son insuficientes para financiar la fuerte expansión del gasto público. El faltante lo cubre </w:t>
      </w:r>
      <w:r w:rsidR="00D201C6">
        <w:rPr>
          <w:rFonts w:ascii="Times New Roman" w:hAnsi="Times New Roman" w:cs="Times New Roman"/>
          <w:sz w:val="28"/>
          <w:szCs w:val="28"/>
        </w:rPr>
        <w:t xml:space="preserve">con dinero emitido por el banco central. En la literatura económica este mecanismo se denomina “financiación monetaria del déficit público”. </w:t>
      </w:r>
      <w:r w:rsidR="00C7031F">
        <w:rPr>
          <w:rFonts w:ascii="Times New Roman" w:hAnsi="Times New Roman" w:cs="Times New Roman"/>
          <w:sz w:val="28"/>
          <w:szCs w:val="28"/>
        </w:rPr>
        <w:t xml:space="preserve">En el gráfico 3 se presenta el comportamiento del balance del </w:t>
      </w:r>
      <w:r w:rsidR="00DA6964">
        <w:rPr>
          <w:rFonts w:ascii="Times New Roman" w:hAnsi="Times New Roman" w:cs="Times New Roman"/>
          <w:sz w:val="28"/>
          <w:szCs w:val="28"/>
        </w:rPr>
        <w:t>sector público</w:t>
      </w:r>
      <w:r w:rsidR="00C7031F">
        <w:rPr>
          <w:rFonts w:ascii="Times New Roman" w:hAnsi="Times New Roman" w:cs="Times New Roman"/>
          <w:sz w:val="28"/>
          <w:szCs w:val="28"/>
        </w:rPr>
        <w:t xml:space="preserve">. </w:t>
      </w:r>
      <w:r w:rsidR="008B4B24">
        <w:rPr>
          <w:rFonts w:ascii="Times New Roman" w:hAnsi="Times New Roman" w:cs="Times New Roman"/>
          <w:sz w:val="28"/>
          <w:szCs w:val="28"/>
        </w:rPr>
        <w:t>P</w:t>
      </w:r>
      <w:r w:rsidR="00C7031F">
        <w:rPr>
          <w:rFonts w:ascii="Times New Roman" w:hAnsi="Times New Roman" w:cs="Times New Roman"/>
          <w:sz w:val="28"/>
          <w:szCs w:val="28"/>
        </w:rPr>
        <w:t xml:space="preserve">uede observarse </w:t>
      </w:r>
      <w:r w:rsidR="008B4B24">
        <w:rPr>
          <w:rFonts w:ascii="Times New Roman" w:hAnsi="Times New Roman" w:cs="Times New Roman"/>
          <w:sz w:val="28"/>
          <w:szCs w:val="28"/>
        </w:rPr>
        <w:t xml:space="preserve">que mientras en el período 1996-2008, el </w:t>
      </w:r>
      <w:r w:rsidR="008B4B24">
        <w:rPr>
          <w:rFonts w:ascii="Times New Roman" w:hAnsi="Times New Roman" w:cs="Times New Roman"/>
          <w:sz w:val="28"/>
          <w:szCs w:val="28"/>
        </w:rPr>
        <w:lastRenderedPageBreak/>
        <w:t xml:space="preserve">balance gubernamental </w:t>
      </w:r>
      <w:r w:rsidR="00AF1652">
        <w:rPr>
          <w:rFonts w:ascii="Times New Roman" w:hAnsi="Times New Roman" w:cs="Times New Roman"/>
          <w:sz w:val="28"/>
          <w:szCs w:val="28"/>
        </w:rPr>
        <w:t xml:space="preserve">se situó en </w:t>
      </w:r>
      <w:r w:rsidR="008B4B24">
        <w:rPr>
          <w:rFonts w:ascii="Times New Roman" w:hAnsi="Times New Roman" w:cs="Times New Roman"/>
          <w:sz w:val="28"/>
          <w:szCs w:val="28"/>
        </w:rPr>
        <w:t xml:space="preserve">un promedio anual de 0,3% del PIB, desde </w:t>
      </w:r>
      <w:r w:rsidR="00701B0A">
        <w:rPr>
          <w:rFonts w:ascii="Times New Roman" w:hAnsi="Times New Roman" w:cs="Times New Roman"/>
          <w:sz w:val="28"/>
          <w:szCs w:val="28"/>
        </w:rPr>
        <w:t xml:space="preserve">entonces </w:t>
      </w:r>
      <w:r w:rsidR="00AF1652">
        <w:rPr>
          <w:rFonts w:ascii="Times New Roman" w:hAnsi="Times New Roman" w:cs="Times New Roman"/>
          <w:sz w:val="28"/>
          <w:szCs w:val="28"/>
        </w:rPr>
        <w:t>registra un protuberante y sostenido deterioro, alcanzando un déficit del orden de 23,1% del PIB en 2015</w:t>
      </w:r>
      <w:r w:rsidR="00DA6964" w:rsidRPr="00652AFA">
        <w:rPr>
          <w:rFonts w:ascii="Times New Roman" w:eastAsia="Calibri" w:hAnsi="Times New Roman" w:cs="Times New Roman"/>
          <w:sz w:val="28"/>
          <w:szCs w:val="28"/>
          <w:vertAlign w:val="superscript"/>
          <w:lang w:val="es-ES_tradnl"/>
        </w:rPr>
        <w:footnoteReference w:id="4"/>
      </w:r>
      <w:r w:rsidR="00C7031F">
        <w:rPr>
          <w:rFonts w:ascii="Times New Roman" w:hAnsi="Times New Roman" w:cs="Times New Roman"/>
          <w:sz w:val="28"/>
          <w:szCs w:val="28"/>
        </w:rPr>
        <w:t xml:space="preserve">. </w:t>
      </w:r>
    </w:p>
    <w:p w:rsidR="005173C3" w:rsidRDefault="005173C3" w:rsidP="005173C3">
      <w:pPr>
        <w:jc w:val="both"/>
        <w:rPr>
          <w:rFonts w:ascii="Times New Roman" w:hAnsi="Times New Roman" w:cs="Times New Roman"/>
          <w:sz w:val="28"/>
          <w:szCs w:val="28"/>
        </w:rPr>
      </w:pPr>
      <w:r>
        <w:rPr>
          <w:rFonts w:ascii="Times New Roman" w:hAnsi="Times New Roman" w:cs="Times New Roman"/>
          <w:sz w:val="28"/>
          <w:szCs w:val="28"/>
        </w:rPr>
        <w:t xml:space="preserve">El colapso del valor real de la moneda tiene también su contrapartida en el precio de la divisa. La gente no quiere tener moneda local y busca desesperadamente alguna otra unidad monetaria de valor estable, inevitablemente una moneda extranjera confiable. La gran demanda de moneda extranjera eleva su precio en términos de la moneda nacional o, en otras palabras, esta última se deprecia o devalúa. Este proceso ha sucedido en todos los países que han experimentado mega o hiperinflaciones. </w:t>
      </w:r>
    </w:p>
    <w:p w:rsidR="00C10359" w:rsidRDefault="0000787A" w:rsidP="003F2A10">
      <w:pPr>
        <w:spacing w:after="0"/>
        <w:jc w:val="center"/>
        <w:rPr>
          <w:rFonts w:ascii="Times New Roman" w:hAnsi="Times New Roman" w:cs="Times New Roman"/>
          <w:sz w:val="28"/>
          <w:szCs w:val="28"/>
        </w:rPr>
      </w:pPr>
      <w:r>
        <w:rPr>
          <w:rFonts w:ascii="Times New Roman" w:hAnsi="Times New Roman" w:cs="Times New Roman"/>
          <w:sz w:val="28"/>
          <w:szCs w:val="28"/>
        </w:rPr>
        <w:t>Gráfico 3</w:t>
      </w:r>
    </w:p>
    <w:p w:rsidR="00C10359" w:rsidRDefault="00C10359" w:rsidP="00C10359">
      <w:pPr>
        <w:spacing w:after="0"/>
        <w:jc w:val="center"/>
        <w:rPr>
          <w:rFonts w:ascii="Times New Roman" w:hAnsi="Times New Roman" w:cs="Times New Roman"/>
          <w:sz w:val="28"/>
          <w:szCs w:val="28"/>
        </w:rPr>
      </w:pPr>
      <w:r>
        <w:rPr>
          <w:rFonts w:ascii="Times New Roman" w:hAnsi="Times New Roman" w:cs="Times New Roman"/>
          <w:sz w:val="28"/>
          <w:szCs w:val="28"/>
        </w:rPr>
        <w:t xml:space="preserve">Venezuela: Balance del </w:t>
      </w:r>
      <w:r w:rsidR="00DA6964">
        <w:rPr>
          <w:rFonts w:ascii="Times New Roman" w:hAnsi="Times New Roman" w:cs="Times New Roman"/>
          <w:sz w:val="28"/>
          <w:szCs w:val="28"/>
        </w:rPr>
        <w:t>sector público no financiero</w:t>
      </w:r>
      <w:r>
        <w:rPr>
          <w:rFonts w:ascii="Times New Roman" w:hAnsi="Times New Roman" w:cs="Times New Roman"/>
          <w:sz w:val="28"/>
          <w:szCs w:val="28"/>
        </w:rPr>
        <w:t>, 1992-2015</w:t>
      </w:r>
    </w:p>
    <w:p w:rsidR="00C10359" w:rsidRDefault="00C10359" w:rsidP="00C10359">
      <w:pPr>
        <w:spacing w:after="0"/>
        <w:jc w:val="center"/>
        <w:rPr>
          <w:rFonts w:ascii="Times New Roman" w:hAnsi="Times New Roman" w:cs="Times New Roman"/>
          <w:sz w:val="28"/>
          <w:szCs w:val="28"/>
        </w:rPr>
      </w:pPr>
      <w:r>
        <w:rPr>
          <w:rFonts w:ascii="Times New Roman" w:hAnsi="Times New Roman" w:cs="Times New Roman"/>
          <w:sz w:val="28"/>
          <w:szCs w:val="28"/>
        </w:rPr>
        <w:t>(Porcentaje del PIB)</w:t>
      </w:r>
    </w:p>
    <w:p w:rsidR="00E7531D" w:rsidRDefault="00E7531D" w:rsidP="0091594E">
      <w:pPr>
        <w:spacing w:after="0"/>
        <w:jc w:val="center"/>
        <w:rPr>
          <w:rFonts w:ascii="Times New Roman" w:hAnsi="Times New Roman" w:cs="Times New Roman"/>
          <w:sz w:val="28"/>
          <w:szCs w:val="28"/>
        </w:rPr>
      </w:pPr>
      <w:r>
        <w:rPr>
          <w:noProof/>
          <w:lang w:eastAsia="es-CO"/>
        </w:rPr>
        <w:drawing>
          <wp:inline distT="0" distB="0" distL="0" distR="0" wp14:anchorId="7A28C1FE" wp14:editId="08A725FD">
            <wp:extent cx="5114925" cy="2743200"/>
            <wp:effectExtent l="0" t="0" r="9525" b="0"/>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4925" cy="2743200"/>
                    </a:xfrm>
                    <a:prstGeom prst="rect">
                      <a:avLst/>
                    </a:prstGeom>
                    <a:noFill/>
                    <a:extLst/>
                  </pic:spPr>
                </pic:pic>
              </a:graphicData>
            </a:graphic>
          </wp:inline>
        </w:drawing>
      </w:r>
    </w:p>
    <w:p w:rsidR="00C10359" w:rsidRDefault="00455562" w:rsidP="00C10359">
      <w:pPr>
        <w:jc w:val="both"/>
        <w:rPr>
          <w:rFonts w:ascii="Times New Roman" w:hAnsi="Times New Roman" w:cs="Times New Roman"/>
          <w:sz w:val="20"/>
          <w:szCs w:val="20"/>
        </w:rPr>
      </w:pPr>
      <w:r>
        <w:rPr>
          <w:rFonts w:ascii="Times New Roman" w:hAnsi="Times New Roman" w:cs="Times New Roman"/>
          <w:sz w:val="20"/>
          <w:szCs w:val="20"/>
        </w:rPr>
        <w:t xml:space="preserve">      </w:t>
      </w:r>
      <w:r w:rsidR="0091594E">
        <w:rPr>
          <w:rFonts w:ascii="Times New Roman" w:hAnsi="Times New Roman" w:cs="Times New Roman"/>
          <w:sz w:val="20"/>
          <w:szCs w:val="20"/>
        </w:rPr>
        <w:t xml:space="preserve"> </w:t>
      </w:r>
      <w:r w:rsidR="00C10359" w:rsidRPr="00024578">
        <w:rPr>
          <w:rFonts w:ascii="Times New Roman" w:hAnsi="Times New Roman" w:cs="Times New Roman"/>
          <w:sz w:val="20"/>
          <w:szCs w:val="20"/>
        </w:rPr>
        <w:t xml:space="preserve">Fuente: </w:t>
      </w:r>
      <w:r w:rsidR="00F24922">
        <w:rPr>
          <w:rFonts w:ascii="Times New Roman" w:hAnsi="Times New Roman" w:cs="Times New Roman"/>
          <w:sz w:val="20"/>
          <w:szCs w:val="20"/>
        </w:rPr>
        <w:t xml:space="preserve">CEPAL y </w:t>
      </w:r>
      <w:r w:rsidR="0091594E">
        <w:rPr>
          <w:rFonts w:ascii="Times New Roman" w:hAnsi="Times New Roman" w:cs="Times New Roman"/>
          <w:sz w:val="20"/>
          <w:szCs w:val="20"/>
        </w:rPr>
        <w:t>Fondo Monetario Internacional</w:t>
      </w:r>
      <w:r w:rsidR="00C10359" w:rsidRPr="00024578">
        <w:rPr>
          <w:rFonts w:ascii="Times New Roman" w:hAnsi="Times New Roman" w:cs="Times New Roman"/>
          <w:sz w:val="20"/>
          <w:szCs w:val="20"/>
        </w:rPr>
        <w:t xml:space="preserve">. </w:t>
      </w:r>
      <w:r w:rsidR="0091594E">
        <w:rPr>
          <w:rFonts w:ascii="Times New Roman" w:hAnsi="Times New Roman" w:cs="Times New Roman"/>
          <w:sz w:val="20"/>
          <w:szCs w:val="20"/>
        </w:rPr>
        <w:t xml:space="preserve"> </w:t>
      </w:r>
    </w:p>
    <w:p w:rsidR="005173C3" w:rsidRDefault="005173C3" w:rsidP="005173C3">
      <w:pPr>
        <w:jc w:val="both"/>
        <w:rPr>
          <w:rFonts w:ascii="Times New Roman" w:hAnsi="Times New Roman" w:cs="Times New Roman"/>
          <w:sz w:val="28"/>
          <w:szCs w:val="28"/>
        </w:rPr>
      </w:pPr>
      <w:r>
        <w:rPr>
          <w:rFonts w:ascii="Times New Roman" w:hAnsi="Times New Roman" w:cs="Times New Roman"/>
          <w:sz w:val="28"/>
          <w:szCs w:val="28"/>
        </w:rPr>
        <w:t xml:space="preserve">Sin embargo, el Gobierno venezolano lo atribuye también a una conspiración extranjera. En particular, el Presidente Maduro ha acusado a </w:t>
      </w:r>
      <w:r w:rsidRPr="00C1247A">
        <w:rPr>
          <w:rFonts w:ascii="Times New Roman" w:hAnsi="Times New Roman" w:cs="Times New Roman"/>
          <w:i/>
          <w:sz w:val="28"/>
          <w:szCs w:val="28"/>
        </w:rPr>
        <w:t>DolarToday</w:t>
      </w:r>
      <w:r>
        <w:rPr>
          <w:rFonts w:ascii="Times New Roman" w:hAnsi="Times New Roman" w:cs="Times New Roman"/>
          <w:i/>
          <w:sz w:val="28"/>
          <w:szCs w:val="28"/>
        </w:rPr>
        <w:t>.com</w:t>
      </w:r>
      <w:r w:rsidRPr="00C1247A">
        <w:rPr>
          <w:rFonts w:ascii="Times New Roman" w:hAnsi="Times New Roman" w:cs="Times New Roman"/>
          <w:i/>
          <w:sz w:val="28"/>
          <w:szCs w:val="28"/>
        </w:rPr>
        <w:t xml:space="preserve"> </w:t>
      </w:r>
      <w:r>
        <w:rPr>
          <w:rFonts w:ascii="Times New Roman" w:hAnsi="Times New Roman" w:cs="Times New Roman"/>
          <w:sz w:val="28"/>
          <w:szCs w:val="28"/>
        </w:rPr>
        <w:t xml:space="preserve"> (un sitio web registrado en Delaware que ofrece un tipo de cambio de referencia utilizado por los venezolanos para comprar y vender dólares en el mercado no oficial o paralelo de divisas) de dirigir una “guerra económica” </w:t>
      </w:r>
      <w:r>
        <w:rPr>
          <w:rFonts w:ascii="Times New Roman" w:hAnsi="Times New Roman" w:cs="Times New Roman"/>
          <w:sz w:val="28"/>
          <w:szCs w:val="28"/>
        </w:rPr>
        <w:lastRenderedPageBreak/>
        <w:t>contra su gobierno y ha prometido encarcelar a Gustavo Díaz (vive en Alabama) y sus otros dos socios venezolanos</w:t>
      </w:r>
      <w:r w:rsidRPr="00652AFA">
        <w:rPr>
          <w:rFonts w:ascii="Times New Roman" w:eastAsia="Calibri" w:hAnsi="Times New Roman" w:cs="Times New Roman"/>
          <w:sz w:val="28"/>
          <w:szCs w:val="28"/>
          <w:vertAlign w:val="superscript"/>
          <w:lang w:val="es-ES_tradnl"/>
        </w:rPr>
        <w:footnoteReference w:id="5"/>
      </w:r>
      <w:r>
        <w:rPr>
          <w:rFonts w:ascii="Times New Roman" w:hAnsi="Times New Roman" w:cs="Times New Roman"/>
          <w:sz w:val="28"/>
          <w:szCs w:val="28"/>
        </w:rPr>
        <w:t xml:space="preserve">. </w:t>
      </w:r>
    </w:p>
    <w:p w:rsidR="008E6AD8" w:rsidRDefault="00F8268C" w:rsidP="0092625F">
      <w:pPr>
        <w:jc w:val="both"/>
        <w:rPr>
          <w:rFonts w:ascii="Times New Roman" w:hAnsi="Times New Roman" w:cs="Times New Roman"/>
          <w:sz w:val="28"/>
          <w:szCs w:val="28"/>
        </w:rPr>
      </w:pPr>
      <w:r>
        <w:rPr>
          <w:rFonts w:ascii="Times New Roman" w:hAnsi="Times New Roman" w:cs="Times New Roman"/>
          <w:sz w:val="28"/>
          <w:szCs w:val="28"/>
        </w:rPr>
        <w:t>El gráfico 4 muestra la evolución de la devaluación del bolívar en el mercado no oficial o paralelo y la tasa de crecimiento de la oferta monetaria venezolana</w:t>
      </w:r>
      <w:r w:rsidR="00A01BD1">
        <w:rPr>
          <w:rFonts w:ascii="Times New Roman" w:hAnsi="Times New Roman" w:cs="Times New Roman"/>
          <w:sz w:val="28"/>
          <w:szCs w:val="28"/>
        </w:rPr>
        <w:t xml:space="preserve"> en los últimos cinco años</w:t>
      </w:r>
      <w:r>
        <w:rPr>
          <w:rFonts w:ascii="Times New Roman" w:hAnsi="Times New Roman" w:cs="Times New Roman"/>
          <w:sz w:val="28"/>
          <w:szCs w:val="28"/>
        </w:rPr>
        <w:t xml:space="preserve">. </w:t>
      </w:r>
      <w:r w:rsidR="00A01BD1">
        <w:rPr>
          <w:rFonts w:ascii="Times New Roman" w:hAnsi="Times New Roman" w:cs="Times New Roman"/>
          <w:sz w:val="28"/>
          <w:szCs w:val="28"/>
        </w:rPr>
        <w:t xml:space="preserve">La fuerte expansión monetaria no tiene nada que ver con </w:t>
      </w:r>
      <w:r w:rsidR="00A01BD1" w:rsidRPr="00A01BD1">
        <w:rPr>
          <w:rFonts w:ascii="Times New Roman" w:hAnsi="Times New Roman" w:cs="Times New Roman"/>
          <w:i/>
          <w:sz w:val="28"/>
          <w:szCs w:val="28"/>
        </w:rPr>
        <w:t>DolarToday.com</w:t>
      </w:r>
      <w:r w:rsidR="00A01BD1">
        <w:rPr>
          <w:rFonts w:ascii="Times New Roman" w:hAnsi="Times New Roman" w:cs="Times New Roman"/>
          <w:sz w:val="28"/>
          <w:szCs w:val="28"/>
        </w:rPr>
        <w:t>.</w:t>
      </w:r>
      <w:r w:rsidR="004C571D">
        <w:rPr>
          <w:rFonts w:ascii="Times New Roman" w:hAnsi="Times New Roman" w:cs="Times New Roman"/>
          <w:sz w:val="28"/>
          <w:szCs w:val="28"/>
        </w:rPr>
        <w:t xml:space="preserve"> Es responsabilidad del Banco Central de Venezuela. </w:t>
      </w:r>
      <w:r w:rsidR="00716ADF">
        <w:rPr>
          <w:rFonts w:ascii="Times New Roman" w:hAnsi="Times New Roman" w:cs="Times New Roman"/>
          <w:sz w:val="28"/>
          <w:szCs w:val="28"/>
        </w:rPr>
        <w:t xml:space="preserve"> </w:t>
      </w:r>
    </w:p>
    <w:p w:rsidR="005173C3" w:rsidRDefault="005173C3" w:rsidP="005173C3">
      <w:pPr>
        <w:jc w:val="both"/>
        <w:rPr>
          <w:rFonts w:ascii="Times New Roman" w:hAnsi="Times New Roman" w:cs="Times New Roman"/>
          <w:sz w:val="28"/>
          <w:szCs w:val="28"/>
        </w:rPr>
      </w:pPr>
      <w:r>
        <w:rPr>
          <w:rFonts w:ascii="Times New Roman" w:hAnsi="Times New Roman" w:cs="Times New Roman"/>
          <w:sz w:val="28"/>
          <w:szCs w:val="28"/>
        </w:rPr>
        <w:t xml:space="preserve">Estas rápidas descripciones muestran la relación entre déficit público, oferta monetaria, inflación y devaluación, algo bien establecido en la teoría económica. La grave situación económica y social venezolana es resultado fundamentalmente de su pésima política económica. Sin embargo, la salida de este caos económico va más allá de las medidas tradicionales que permitieron a otros países salir de situaciones hiperinflacionarias. Venezuela necesita reconstruir la economía de mercado y reestablecer la iniciativa privada, como también retornar a la democracia liberal. </w:t>
      </w:r>
    </w:p>
    <w:p w:rsidR="0000787A" w:rsidRDefault="0000787A" w:rsidP="0000787A">
      <w:pPr>
        <w:spacing w:after="0"/>
        <w:jc w:val="center"/>
        <w:rPr>
          <w:rFonts w:ascii="Times New Roman" w:hAnsi="Times New Roman" w:cs="Times New Roman"/>
          <w:sz w:val="28"/>
          <w:szCs w:val="28"/>
        </w:rPr>
      </w:pPr>
      <w:r>
        <w:rPr>
          <w:rFonts w:ascii="Times New Roman" w:hAnsi="Times New Roman" w:cs="Times New Roman"/>
          <w:sz w:val="28"/>
          <w:szCs w:val="28"/>
        </w:rPr>
        <w:t>Gráfico 4</w:t>
      </w:r>
    </w:p>
    <w:p w:rsidR="0000787A" w:rsidRDefault="0000787A" w:rsidP="0000787A">
      <w:pPr>
        <w:spacing w:after="0"/>
        <w:jc w:val="center"/>
        <w:rPr>
          <w:rFonts w:ascii="Times New Roman" w:hAnsi="Times New Roman" w:cs="Times New Roman"/>
          <w:sz w:val="28"/>
          <w:szCs w:val="28"/>
        </w:rPr>
      </w:pPr>
      <w:r>
        <w:rPr>
          <w:rFonts w:ascii="Times New Roman" w:hAnsi="Times New Roman" w:cs="Times New Roman"/>
          <w:sz w:val="28"/>
          <w:szCs w:val="28"/>
        </w:rPr>
        <w:t xml:space="preserve">Venezuela: Devaluación del bolívar y tasa de crecimiento del dinero (M1) </w:t>
      </w:r>
    </w:p>
    <w:p w:rsidR="0000787A" w:rsidRDefault="0000787A" w:rsidP="0000787A">
      <w:pPr>
        <w:spacing w:after="0"/>
        <w:jc w:val="center"/>
        <w:rPr>
          <w:rFonts w:ascii="Times New Roman" w:hAnsi="Times New Roman" w:cs="Times New Roman"/>
          <w:sz w:val="28"/>
          <w:szCs w:val="28"/>
        </w:rPr>
      </w:pPr>
      <w:r>
        <w:rPr>
          <w:rFonts w:ascii="Times New Roman" w:hAnsi="Times New Roman" w:cs="Times New Roman"/>
          <w:sz w:val="28"/>
          <w:szCs w:val="28"/>
        </w:rPr>
        <w:t>(Porcentajes anuales)</w:t>
      </w:r>
    </w:p>
    <w:p w:rsidR="0000787A" w:rsidRDefault="0000787A" w:rsidP="0000787A">
      <w:pPr>
        <w:spacing w:after="0"/>
        <w:jc w:val="center"/>
        <w:rPr>
          <w:rFonts w:ascii="Times New Roman" w:hAnsi="Times New Roman" w:cs="Times New Roman"/>
          <w:sz w:val="28"/>
          <w:szCs w:val="28"/>
        </w:rPr>
      </w:pPr>
      <w:r>
        <w:rPr>
          <w:noProof/>
          <w:lang w:eastAsia="es-CO"/>
        </w:rPr>
        <w:drawing>
          <wp:inline distT="0" distB="0" distL="0" distR="0" wp14:anchorId="13FDD5B2" wp14:editId="0BFBD167">
            <wp:extent cx="5600700" cy="2600325"/>
            <wp:effectExtent l="0" t="0" r="0" b="9525"/>
            <wp:docPr id="16" name="1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5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2600325"/>
                    </a:xfrm>
                    <a:prstGeom prst="rect">
                      <a:avLst/>
                    </a:prstGeom>
                    <a:noFill/>
                    <a:extLst/>
                  </pic:spPr>
                </pic:pic>
              </a:graphicData>
            </a:graphic>
          </wp:inline>
        </w:drawing>
      </w:r>
    </w:p>
    <w:p w:rsidR="0000787A" w:rsidRDefault="0000787A" w:rsidP="0000787A">
      <w:pPr>
        <w:jc w:val="both"/>
        <w:rPr>
          <w:rFonts w:ascii="Times New Roman" w:hAnsi="Times New Roman" w:cs="Times New Roman"/>
          <w:sz w:val="20"/>
          <w:szCs w:val="20"/>
        </w:rPr>
      </w:pPr>
      <w:r w:rsidRPr="00024578">
        <w:rPr>
          <w:rFonts w:ascii="Times New Roman" w:hAnsi="Times New Roman" w:cs="Times New Roman"/>
          <w:sz w:val="20"/>
          <w:szCs w:val="20"/>
        </w:rPr>
        <w:t xml:space="preserve">Fuente: </w:t>
      </w:r>
      <w:r>
        <w:rPr>
          <w:rFonts w:ascii="Times New Roman" w:hAnsi="Times New Roman" w:cs="Times New Roman"/>
          <w:sz w:val="20"/>
          <w:szCs w:val="20"/>
        </w:rPr>
        <w:t>Banco Central de Venezuela y DolarToday.com</w:t>
      </w:r>
      <w:r w:rsidRPr="00024578">
        <w:rPr>
          <w:rFonts w:ascii="Times New Roman" w:hAnsi="Times New Roman" w:cs="Times New Roman"/>
          <w:sz w:val="20"/>
          <w:szCs w:val="20"/>
        </w:rPr>
        <w:t xml:space="preserve">. </w:t>
      </w:r>
      <w:r w:rsidR="00254FF4">
        <w:rPr>
          <w:rFonts w:ascii="Times New Roman" w:hAnsi="Times New Roman" w:cs="Times New Roman"/>
          <w:sz w:val="20"/>
          <w:szCs w:val="20"/>
        </w:rPr>
        <w:t xml:space="preserve">Las tasas de crecimiento en 2016 corresponden a octubre de 2016-octubre de 2015 para la oferta monetaria y diciembre 11 de 2016-diciembre 31 de 2015 para la tasa de devaluación del bolívar. </w:t>
      </w:r>
    </w:p>
    <w:p w:rsidR="00E531E5" w:rsidRPr="00317921" w:rsidRDefault="005B666A" w:rsidP="00E531E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Cada vez más los cierres empeorarán las dramáticas condiciones económicas y sociales en que se encuentran los venezolanos. </w:t>
      </w:r>
      <w:r w:rsidR="00513934">
        <w:rPr>
          <w:rFonts w:ascii="Times New Roman" w:hAnsi="Times New Roman" w:cs="Times New Roman"/>
          <w:sz w:val="28"/>
          <w:szCs w:val="28"/>
        </w:rPr>
        <w:t>Pero</w:t>
      </w:r>
      <w:r>
        <w:rPr>
          <w:rFonts w:ascii="Times New Roman" w:hAnsi="Times New Roman" w:cs="Times New Roman"/>
          <w:sz w:val="28"/>
          <w:szCs w:val="28"/>
        </w:rPr>
        <w:t>, esta vez, una nueva reapertura</w:t>
      </w:r>
      <w:r w:rsidR="00513934">
        <w:rPr>
          <w:rFonts w:ascii="Times New Roman" w:hAnsi="Times New Roman" w:cs="Times New Roman"/>
          <w:sz w:val="28"/>
          <w:szCs w:val="28"/>
        </w:rPr>
        <w:t xml:space="preserve"> de la frontera, como la iniciada parcialmente </w:t>
      </w:r>
      <w:r w:rsidR="0067252B">
        <w:rPr>
          <w:rFonts w:ascii="Times New Roman" w:hAnsi="Times New Roman" w:cs="Times New Roman"/>
          <w:sz w:val="28"/>
          <w:szCs w:val="28"/>
        </w:rPr>
        <w:t>el pasado 20</w:t>
      </w:r>
      <w:r w:rsidR="00513934">
        <w:rPr>
          <w:rFonts w:ascii="Times New Roman" w:hAnsi="Times New Roman" w:cs="Times New Roman"/>
          <w:sz w:val="28"/>
          <w:szCs w:val="28"/>
        </w:rPr>
        <w:t xml:space="preserve"> de diciembre, aliviará mucho menos la situación de desabastecimiento de la población venezolana. De hecho, los comerciantes fronterizos </w:t>
      </w:r>
      <w:r w:rsidR="00ED5447">
        <w:rPr>
          <w:rFonts w:ascii="Times New Roman" w:hAnsi="Times New Roman" w:cs="Times New Roman"/>
          <w:sz w:val="28"/>
          <w:szCs w:val="28"/>
        </w:rPr>
        <w:t xml:space="preserve">en Colombia </w:t>
      </w:r>
      <w:r w:rsidR="00513934" w:rsidRPr="00933CB0">
        <w:rPr>
          <w:rFonts w:ascii="Times New Roman" w:hAnsi="Times New Roman" w:cs="Times New Roman"/>
          <w:sz w:val="28"/>
          <w:szCs w:val="28"/>
        </w:rPr>
        <w:t>anunciaron que no recibirán bolívares</w:t>
      </w:r>
      <w:r w:rsidR="00513934">
        <w:rPr>
          <w:rFonts w:ascii="Times New Roman" w:hAnsi="Times New Roman" w:cs="Times New Roman"/>
          <w:sz w:val="28"/>
          <w:szCs w:val="28"/>
        </w:rPr>
        <w:t xml:space="preserve">, debido a su </w:t>
      </w:r>
      <w:r w:rsidR="00513934" w:rsidRPr="00551273">
        <w:rPr>
          <w:rFonts w:ascii="Times New Roman" w:hAnsi="Times New Roman" w:cs="Times New Roman"/>
          <w:sz w:val="28"/>
          <w:szCs w:val="28"/>
        </w:rPr>
        <w:t>tem</w:t>
      </w:r>
      <w:r w:rsidR="00513934">
        <w:rPr>
          <w:rFonts w:ascii="Times New Roman" w:hAnsi="Times New Roman" w:cs="Times New Roman"/>
          <w:sz w:val="28"/>
          <w:szCs w:val="28"/>
        </w:rPr>
        <w:t>or de</w:t>
      </w:r>
      <w:r w:rsidR="00513934" w:rsidRPr="00551273">
        <w:rPr>
          <w:rFonts w:ascii="Times New Roman" w:hAnsi="Times New Roman" w:cs="Times New Roman"/>
          <w:sz w:val="28"/>
          <w:szCs w:val="28"/>
        </w:rPr>
        <w:t xml:space="preserve"> que otra decisión de</w:t>
      </w:r>
      <w:r w:rsidR="00513934">
        <w:rPr>
          <w:rFonts w:ascii="Times New Roman" w:hAnsi="Times New Roman" w:cs="Times New Roman"/>
          <w:sz w:val="28"/>
          <w:szCs w:val="28"/>
        </w:rPr>
        <w:t xml:space="preserve">l Presidente Maduro los deje </w:t>
      </w:r>
      <w:r w:rsidR="00513934" w:rsidRPr="00551273">
        <w:rPr>
          <w:rFonts w:ascii="Times New Roman" w:hAnsi="Times New Roman" w:cs="Times New Roman"/>
          <w:sz w:val="28"/>
          <w:szCs w:val="28"/>
        </w:rPr>
        <w:t xml:space="preserve">con unos billetes </w:t>
      </w:r>
      <w:r w:rsidR="00513934">
        <w:rPr>
          <w:rFonts w:ascii="Times New Roman" w:hAnsi="Times New Roman" w:cs="Times New Roman"/>
          <w:sz w:val="28"/>
          <w:szCs w:val="28"/>
        </w:rPr>
        <w:t xml:space="preserve">sin valor alguno </w:t>
      </w:r>
      <w:r w:rsidR="00513934" w:rsidRPr="00551273">
        <w:rPr>
          <w:rFonts w:ascii="Times New Roman" w:hAnsi="Times New Roman" w:cs="Times New Roman"/>
          <w:sz w:val="28"/>
          <w:szCs w:val="28"/>
        </w:rPr>
        <w:t xml:space="preserve">y nadie </w:t>
      </w:r>
      <w:r w:rsidR="00513934">
        <w:rPr>
          <w:rFonts w:ascii="Times New Roman" w:hAnsi="Times New Roman" w:cs="Times New Roman"/>
          <w:sz w:val="28"/>
          <w:szCs w:val="28"/>
        </w:rPr>
        <w:t xml:space="preserve">se </w:t>
      </w:r>
      <w:r w:rsidR="00513934" w:rsidRPr="00551273">
        <w:rPr>
          <w:rFonts w:ascii="Times New Roman" w:hAnsi="Times New Roman" w:cs="Times New Roman"/>
          <w:sz w:val="28"/>
          <w:szCs w:val="28"/>
        </w:rPr>
        <w:t>l</w:t>
      </w:r>
      <w:r w:rsidR="00513934">
        <w:rPr>
          <w:rFonts w:ascii="Times New Roman" w:hAnsi="Times New Roman" w:cs="Times New Roman"/>
          <w:sz w:val="28"/>
          <w:szCs w:val="28"/>
        </w:rPr>
        <w:t>o</w:t>
      </w:r>
      <w:r w:rsidR="00513934" w:rsidRPr="00551273">
        <w:rPr>
          <w:rFonts w:ascii="Times New Roman" w:hAnsi="Times New Roman" w:cs="Times New Roman"/>
          <w:sz w:val="28"/>
          <w:szCs w:val="28"/>
        </w:rPr>
        <w:t>s cambie</w:t>
      </w:r>
      <w:r w:rsidR="00C32F3F" w:rsidRPr="00652AFA">
        <w:rPr>
          <w:rFonts w:ascii="Times New Roman" w:eastAsia="Calibri" w:hAnsi="Times New Roman" w:cs="Times New Roman"/>
          <w:sz w:val="28"/>
          <w:szCs w:val="28"/>
          <w:vertAlign w:val="superscript"/>
          <w:lang w:val="es-ES_tradnl"/>
        </w:rPr>
        <w:footnoteReference w:id="6"/>
      </w:r>
      <w:r w:rsidR="00513934">
        <w:rPr>
          <w:rFonts w:ascii="Times New Roman" w:hAnsi="Times New Roman" w:cs="Times New Roman"/>
          <w:sz w:val="28"/>
          <w:szCs w:val="28"/>
        </w:rPr>
        <w:t xml:space="preserve">. </w:t>
      </w:r>
      <w:r w:rsidR="00E531E5">
        <w:rPr>
          <w:rFonts w:ascii="Times New Roman" w:hAnsi="Times New Roman" w:cs="Times New Roman"/>
          <w:sz w:val="28"/>
          <w:szCs w:val="28"/>
        </w:rPr>
        <w:t xml:space="preserve">Por su parte, las casas de cambio han </w:t>
      </w:r>
      <w:r w:rsidR="00E531E5" w:rsidRPr="00317921">
        <w:rPr>
          <w:rFonts w:ascii="Times New Roman" w:hAnsi="Times New Roman" w:cs="Times New Roman"/>
          <w:sz w:val="28"/>
          <w:szCs w:val="28"/>
        </w:rPr>
        <w:t>redu</w:t>
      </w:r>
      <w:r w:rsidR="00E531E5">
        <w:rPr>
          <w:rFonts w:ascii="Times New Roman" w:hAnsi="Times New Roman" w:cs="Times New Roman"/>
          <w:sz w:val="28"/>
          <w:szCs w:val="28"/>
        </w:rPr>
        <w:t>cido</w:t>
      </w:r>
      <w:r w:rsidR="00E531E5" w:rsidRPr="00317921">
        <w:rPr>
          <w:rFonts w:ascii="Times New Roman" w:hAnsi="Times New Roman" w:cs="Times New Roman"/>
          <w:sz w:val="28"/>
          <w:szCs w:val="28"/>
        </w:rPr>
        <w:t xml:space="preserve"> al mínimo la compra de bolívares y están trabajando con la recomendación de mantener ese bajo nivel para evitar pérdidas.</w:t>
      </w:r>
      <w:r w:rsidR="00027A4E">
        <w:rPr>
          <w:rFonts w:ascii="Times New Roman" w:hAnsi="Times New Roman" w:cs="Times New Roman"/>
          <w:sz w:val="28"/>
          <w:szCs w:val="28"/>
        </w:rPr>
        <w:t xml:space="preserve"> </w:t>
      </w:r>
      <w:r w:rsidR="00027A4E" w:rsidRPr="00317921">
        <w:rPr>
          <w:rFonts w:ascii="Times New Roman" w:hAnsi="Times New Roman" w:cs="Times New Roman"/>
          <w:sz w:val="28"/>
          <w:szCs w:val="28"/>
        </w:rPr>
        <w:t>“¿Quién se quiere quedar con una moneda que se devalúa todos los días?”</w:t>
      </w:r>
      <w:r w:rsidR="00045100">
        <w:rPr>
          <w:rFonts w:ascii="Times New Roman" w:hAnsi="Times New Roman" w:cs="Times New Roman"/>
          <w:sz w:val="28"/>
          <w:szCs w:val="28"/>
        </w:rPr>
        <w:t xml:space="preserve">, ahora bajo la amenaza de una posible “expropiación”. </w:t>
      </w:r>
      <w:r w:rsidR="00467B87">
        <w:rPr>
          <w:rFonts w:ascii="Times New Roman" w:hAnsi="Times New Roman" w:cs="Times New Roman"/>
          <w:sz w:val="28"/>
          <w:szCs w:val="28"/>
        </w:rPr>
        <w:t xml:space="preserve">No sería tampoco extraño que, aprovechando el depósito de los billetes de 100 bolívares en una cuenta bancaria para su canje, la próxima medida del Presidente Maduro sea decretar un “corralito financiero”.  </w:t>
      </w:r>
    </w:p>
    <w:p w:rsidR="008E6AD8" w:rsidRDefault="00E531E5" w:rsidP="0092625F">
      <w:pPr>
        <w:jc w:val="both"/>
        <w:rPr>
          <w:rFonts w:ascii="Times New Roman" w:hAnsi="Times New Roman" w:cs="Times New Roman"/>
          <w:sz w:val="28"/>
          <w:szCs w:val="28"/>
        </w:rPr>
      </w:pPr>
      <w:r>
        <w:rPr>
          <w:rFonts w:ascii="Times New Roman" w:hAnsi="Times New Roman" w:cs="Times New Roman"/>
          <w:sz w:val="28"/>
          <w:szCs w:val="28"/>
        </w:rPr>
        <w:t>F</w:t>
      </w:r>
      <w:r w:rsidR="0045717D">
        <w:rPr>
          <w:rFonts w:ascii="Times New Roman" w:hAnsi="Times New Roman" w:cs="Times New Roman"/>
          <w:sz w:val="28"/>
          <w:szCs w:val="28"/>
        </w:rPr>
        <w:t>inalmente, nuestro interés en escribir estos breves comentarios tiene el propósito de desmitificar la posible creencia de algunos sectores de la población colombiana de que el problema venezolano se origina en una</w:t>
      </w:r>
      <w:r w:rsidR="00DA5E36">
        <w:rPr>
          <w:rFonts w:ascii="Times New Roman" w:hAnsi="Times New Roman" w:cs="Times New Roman"/>
          <w:sz w:val="28"/>
          <w:szCs w:val="28"/>
        </w:rPr>
        <w:t xml:space="preserve"> </w:t>
      </w:r>
      <w:r w:rsidR="0045717D">
        <w:rPr>
          <w:rFonts w:ascii="Times New Roman" w:hAnsi="Times New Roman" w:cs="Times New Roman"/>
          <w:sz w:val="28"/>
          <w:szCs w:val="28"/>
        </w:rPr>
        <w:t>conspiración extranjera. La crisis económica y social venezolana es esencialmente “</w:t>
      </w:r>
      <w:proofErr w:type="spellStart"/>
      <w:r w:rsidR="0045717D" w:rsidRPr="0045717D">
        <w:rPr>
          <w:rFonts w:ascii="Times New Roman" w:hAnsi="Times New Roman" w:cs="Times New Roman"/>
          <w:i/>
          <w:sz w:val="28"/>
          <w:szCs w:val="28"/>
        </w:rPr>
        <w:t>made</w:t>
      </w:r>
      <w:proofErr w:type="spellEnd"/>
      <w:r w:rsidR="0045717D" w:rsidRPr="0045717D">
        <w:rPr>
          <w:rFonts w:ascii="Times New Roman" w:hAnsi="Times New Roman" w:cs="Times New Roman"/>
          <w:i/>
          <w:sz w:val="28"/>
          <w:szCs w:val="28"/>
        </w:rPr>
        <w:t xml:space="preserve"> in</w:t>
      </w:r>
      <w:r w:rsidR="0045717D">
        <w:rPr>
          <w:rFonts w:ascii="Times New Roman" w:hAnsi="Times New Roman" w:cs="Times New Roman"/>
          <w:sz w:val="28"/>
          <w:szCs w:val="28"/>
        </w:rPr>
        <w:t xml:space="preserve"> </w:t>
      </w:r>
      <w:r w:rsidR="00AF14F8">
        <w:rPr>
          <w:rFonts w:ascii="Times New Roman" w:hAnsi="Times New Roman" w:cs="Times New Roman"/>
          <w:sz w:val="28"/>
          <w:szCs w:val="28"/>
        </w:rPr>
        <w:t xml:space="preserve">Gobierno de </w:t>
      </w:r>
      <w:r w:rsidR="0045717D">
        <w:rPr>
          <w:rFonts w:ascii="Times New Roman" w:hAnsi="Times New Roman" w:cs="Times New Roman"/>
          <w:sz w:val="28"/>
          <w:szCs w:val="28"/>
        </w:rPr>
        <w:t xml:space="preserve">Venezuela”.  </w:t>
      </w:r>
      <w:r w:rsidR="00BE6C81">
        <w:rPr>
          <w:rFonts w:ascii="Times New Roman" w:hAnsi="Times New Roman" w:cs="Times New Roman"/>
          <w:sz w:val="28"/>
          <w:szCs w:val="28"/>
        </w:rPr>
        <w:t xml:space="preserve"> </w:t>
      </w:r>
    </w:p>
    <w:p w:rsidR="008E6AD8" w:rsidRDefault="008E6AD8" w:rsidP="0092625F">
      <w:pPr>
        <w:jc w:val="both"/>
        <w:rPr>
          <w:rFonts w:ascii="Times New Roman" w:hAnsi="Times New Roman" w:cs="Times New Roman"/>
          <w:sz w:val="28"/>
          <w:szCs w:val="28"/>
        </w:rPr>
      </w:pPr>
    </w:p>
    <w:p w:rsidR="000D7AA5" w:rsidRDefault="000D7AA5" w:rsidP="0092625F">
      <w:pPr>
        <w:jc w:val="both"/>
        <w:rPr>
          <w:rFonts w:ascii="Times New Roman" w:hAnsi="Times New Roman" w:cs="Times New Roman"/>
          <w:sz w:val="28"/>
          <w:szCs w:val="28"/>
        </w:rPr>
      </w:pPr>
    </w:p>
    <w:p w:rsidR="008E6AD8" w:rsidRDefault="008E6AD8" w:rsidP="0092625F">
      <w:pPr>
        <w:jc w:val="both"/>
        <w:rPr>
          <w:rFonts w:ascii="Times New Roman" w:hAnsi="Times New Roman" w:cs="Times New Roman"/>
          <w:sz w:val="28"/>
          <w:szCs w:val="28"/>
        </w:rPr>
      </w:pPr>
    </w:p>
    <w:sectPr w:rsidR="008E6A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94" w:rsidRDefault="001B6394" w:rsidP="00363B97">
      <w:pPr>
        <w:spacing w:after="0" w:line="240" w:lineRule="auto"/>
      </w:pPr>
      <w:r>
        <w:separator/>
      </w:r>
    </w:p>
  </w:endnote>
  <w:endnote w:type="continuationSeparator" w:id="0">
    <w:p w:rsidR="001B6394" w:rsidRDefault="001B6394" w:rsidP="0036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94" w:rsidRDefault="001B6394" w:rsidP="00363B97">
      <w:pPr>
        <w:spacing w:after="0" w:line="240" w:lineRule="auto"/>
      </w:pPr>
      <w:r>
        <w:separator/>
      </w:r>
    </w:p>
  </w:footnote>
  <w:footnote w:type="continuationSeparator" w:id="0">
    <w:p w:rsidR="001B6394" w:rsidRDefault="001B6394" w:rsidP="00363B97">
      <w:pPr>
        <w:spacing w:after="0" w:line="240" w:lineRule="auto"/>
      </w:pPr>
      <w:r>
        <w:continuationSeparator/>
      </w:r>
    </w:p>
  </w:footnote>
  <w:footnote w:id="1">
    <w:p w:rsidR="00363B97" w:rsidRPr="002A46DD" w:rsidRDefault="00363B97" w:rsidP="00363B97">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Estos billetes quedarían sin valor alguno, excepto para los </w:t>
      </w:r>
      <w:r w:rsidR="003A1AE7">
        <w:rPr>
          <w:rFonts w:ascii="Times New Roman" w:hAnsi="Times New Roman"/>
        </w:rPr>
        <w:t xml:space="preserve">coleccionistas de monedas antiguas. El cierre de la frontera durante el lapso establecido para el canje constituye claramente una “expropiación”. </w:t>
      </w:r>
      <w:r>
        <w:rPr>
          <w:rFonts w:ascii="Times New Roman" w:hAnsi="Times New Roman"/>
        </w:rPr>
        <w:t xml:space="preserve">       </w:t>
      </w:r>
      <w:r>
        <w:rPr>
          <w:rFonts w:ascii="Times New Roman" w:hAnsi="Times New Roman"/>
          <w:lang w:val="es-MX"/>
        </w:rPr>
        <w:t xml:space="preserve">  </w:t>
      </w:r>
    </w:p>
  </w:footnote>
  <w:footnote w:id="2">
    <w:p w:rsidR="00652AFA" w:rsidRPr="002A46DD" w:rsidRDefault="00652AFA" w:rsidP="00652AFA">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w:t>
      </w:r>
      <w:r w:rsidR="00546B14">
        <w:rPr>
          <w:rFonts w:ascii="Times New Roman" w:hAnsi="Times New Roman"/>
        </w:rPr>
        <w:t>Las cifras de inflación están retrasadas porque el Banco Central de Venezuela no tiene información desde agosto de 2016. Sin embargo, datos no oficiales muestran que Venezuela ya se encuentra en una situación de hiperinflación, definida como aumentos mensuales de precios iguales o mayores a 50%. De hecho, se estima que</w:t>
      </w:r>
      <w:r w:rsidR="00B16587">
        <w:rPr>
          <w:rFonts w:ascii="Times New Roman" w:hAnsi="Times New Roman"/>
        </w:rPr>
        <w:t xml:space="preserve"> </w:t>
      </w:r>
      <w:r w:rsidR="00855CDE">
        <w:rPr>
          <w:rFonts w:ascii="Times New Roman" w:hAnsi="Times New Roman"/>
        </w:rPr>
        <w:t xml:space="preserve">en </w:t>
      </w:r>
      <w:r w:rsidR="00B16587">
        <w:rPr>
          <w:rFonts w:ascii="Times New Roman" w:hAnsi="Times New Roman"/>
        </w:rPr>
        <w:t>noviembre de 2016</w:t>
      </w:r>
      <w:r w:rsidR="00730E9A">
        <w:rPr>
          <w:rFonts w:ascii="Times New Roman" w:hAnsi="Times New Roman"/>
        </w:rPr>
        <w:t xml:space="preserve">, </w:t>
      </w:r>
      <w:r w:rsidR="00546B14">
        <w:rPr>
          <w:rFonts w:ascii="Times New Roman" w:hAnsi="Times New Roman"/>
        </w:rPr>
        <w:t>la h</w:t>
      </w:r>
      <w:r w:rsidR="00B16587">
        <w:rPr>
          <w:rFonts w:ascii="Times New Roman" w:hAnsi="Times New Roman"/>
        </w:rPr>
        <w:t>iperinflación venezolana se situó</w:t>
      </w:r>
      <w:r w:rsidR="00546B14">
        <w:rPr>
          <w:rFonts w:ascii="Times New Roman" w:hAnsi="Times New Roman"/>
        </w:rPr>
        <w:t xml:space="preserve"> entre una de las </w:t>
      </w:r>
      <w:r w:rsidR="00855CDE">
        <w:rPr>
          <w:rFonts w:ascii="Times New Roman" w:hAnsi="Times New Roman"/>
        </w:rPr>
        <w:t>23</w:t>
      </w:r>
      <w:r w:rsidR="007E2FD1">
        <w:rPr>
          <w:rFonts w:ascii="Times New Roman" w:hAnsi="Times New Roman"/>
        </w:rPr>
        <w:t xml:space="preserve"> más grandes de la historia mundial</w:t>
      </w:r>
      <w:r w:rsidR="00855CDE">
        <w:rPr>
          <w:rFonts w:ascii="Times New Roman" w:hAnsi="Times New Roman"/>
        </w:rPr>
        <w:t xml:space="preserve">, desde que este fenómeno se registró por primera vez en Francia en 1795 (Portafolio, diciembre 15 de 2016).  </w:t>
      </w:r>
      <w:r w:rsidR="007E2FD1">
        <w:rPr>
          <w:rFonts w:ascii="Times New Roman" w:hAnsi="Times New Roman"/>
        </w:rPr>
        <w:t xml:space="preserve"> </w:t>
      </w:r>
      <w:r w:rsidR="00546B14">
        <w:rPr>
          <w:rFonts w:ascii="Times New Roman" w:hAnsi="Times New Roman"/>
        </w:rPr>
        <w:t xml:space="preserve">  </w:t>
      </w:r>
      <w:r>
        <w:rPr>
          <w:rFonts w:ascii="Times New Roman" w:hAnsi="Times New Roman"/>
        </w:rPr>
        <w:t xml:space="preserve">       </w:t>
      </w:r>
      <w:r>
        <w:rPr>
          <w:rFonts w:ascii="Times New Roman" w:hAnsi="Times New Roman"/>
          <w:lang w:val="es-MX"/>
        </w:rPr>
        <w:t xml:space="preserve">  </w:t>
      </w:r>
    </w:p>
  </w:footnote>
  <w:footnote w:id="3">
    <w:p w:rsidR="00080660" w:rsidRPr="002A46DD" w:rsidRDefault="00080660" w:rsidP="00080660">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El relativamente mejor desempeño de la economía venezolana en el período 2002-2012 se debe fundamentalmente al boom de precios internacionales de las materias primas.</w:t>
      </w:r>
      <w:r w:rsidR="00A039A0">
        <w:rPr>
          <w:rFonts w:ascii="Times New Roman" w:hAnsi="Times New Roman"/>
        </w:rPr>
        <w:t xml:space="preserve"> Solamente falta que el Gobierno venezolano atribuya también la fuerte caída de los precios internacionales del petróleo en los últimos años a una conspiración del “imperio”.  </w:t>
      </w:r>
      <w:r>
        <w:rPr>
          <w:rFonts w:ascii="Times New Roman" w:hAnsi="Times New Roman"/>
        </w:rPr>
        <w:t xml:space="preserve">        </w:t>
      </w:r>
      <w:r>
        <w:rPr>
          <w:rFonts w:ascii="Times New Roman" w:hAnsi="Times New Roman"/>
          <w:lang w:val="es-MX"/>
        </w:rPr>
        <w:t xml:space="preserve">  </w:t>
      </w:r>
    </w:p>
  </w:footnote>
  <w:footnote w:id="4">
    <w:p w:rsidR="00DA6964" w:rsidRPr="002A46DD" w:rsidRDefault="00DA6964" w:rsidP="00DA6964">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Por ejemplo, durante la </w:t>
      </w:r>
      <w:r w:rsidR="006E5195">
        <w:rPr>
          <w:rFonts w:ascii="Times New Roman" w:hAnsi="Times New Roman"/>
        </w:rPr>
        <w:t xml:space="preserve">mega e </w:t>
      </w:r>
      <w:r>
        <w:rPr>
          <w:rFonts w:ascii="Times New Roman" w:hAnsi="Times New Roman"/>
        </w:rPr>
        <w:t xml:space="preserve">hiperinflación boliviana de </w:t>
      </w:r>
      <w:r w:rsidR="006E5195">
        <w:rPr>
          <w:rFonts w:ascii="Times New Roman" w:hAnsi="Times New Roman"/>
        </w:rPr>
        <w:t xml:space="preserve">la primera mitad </w:t>
      </w:r>
      <w:r>
        <w:rPr>
          <w:rFonts w:ascii="Times New Roman" w:hAnsi="Times New Roman"/>
        </w:rPr>
        <w:t xml:space="preserve">de la década de 1980, el déficit del sector público </w:t>
      </w:r>
      <w:r w:rsidR="006E5195">
        <w:rPr>
          <w:rFonts w:ascii="Times New Roman" w:hAnsi="Times New Roman"/>
        </w:rPr>
        <w:t xml:space="preserve">pasó (como porcentaje del PIB) de 9,6% en 1981 a </w:t>
      </w:r>
      <w:r>
        <w:rPr>
          <w:rFonts w:ascii="Times New Roman" w:hAnsi="Times New Roman"/>
        </w:rPr>
        <w:t xml:space="preserve">25,4% en 1984.             </w:t>
      </w:r>
      <w:r>
        <w:rPr>
          <w:rFonts w:ascii="Times New Roman" w:hAnsi="Times New Roman"/>
          <w:lang w:val="es-MX"/>
        </w:rPr>
        <w:t xml:space="preserve">  </w:t>
      </w:r>
    </w:p>
  </w:footnote>
  <w:footnote w:id="5">
    <w:p w:rsidR="005173C3" w:rsidRPr="002A46DD" w:rsidRDefault="005173C3" w:rsidP="005173C3">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El Banco Central de Venezuela culpa también a </w:t>
      </w:r>
      <w:proofErr w:type="spellStart"/>
      <w:r w:rsidRPr="0044759F">
        <w:rPr>
          <w:rFonts w:ascii="Times New Roman" w:hAnsi="Times New Roman"/>
          <w:i/>
        </w:rPr>
        <w:t>DolarToday</w:t>
      </w:r>
      <w:proofErr w:type="spellEnd"/>
      <w:r>
        <w:rPr>
          <w:rFonts w:ascii="Times New Roman" w:hAnsi="Times New Roman"/>
        </w:rPr>
        <w:t xml:space="preserve"> de incidir directamente en la inflación y ha interpuesto demandas contra este sitio web en tribunales estadounidenses.             </w:t>
      </w:r>
      <w:r>
        <w:rPr>
          <w:rFonts w:ascii="Times New Roman" w:hAnsi="Times New Roman"/>
          <w:lang w:val="es-MX"/>
        </w:rPr>
        <w:t xml:space="preserve">  </w:t>
      </w:r>
    </w:p>
  </w:footnote>
  <w:footnote w:id="6">
    <w:p w:rsidR="00C32F3F" w:rsidRPr="002A46DD" w:rsidRDefault="00C32F3F" w:rsidP="00C32F3F">
      <w:pPr>
        <w:pStyle w:val="Textonotapie"/>
        <w:jc w:val="both"/>
        <w:rPr>
          <w:rFonts w:ascii="Times New Roman" w:hAnsi="Times New Roman"/>
          <w:lang w:val="es-MX"/>
        </w:rPr>
      </w:pPr>
      <w:r w:rsidRPr="002A46DD">
        <w:rPr>
          <w:rStyle w:val="Refdenotaalpie"/>
          <w:rFonts w:ascii="Times New Roman" w:hAnsi="Times New Roman"/>
        </w:rPr>
        <w:footnoteRef/>
      </w:r>
      <w:r>
        <w:rPr>
          <w:rFonts w:ascii="Times New Roman" w:hAnsi="Times New Roman"/>
        </w:rPr>
        <w:t xml:space="preserve"> En Venezuela, conseguir dólares es una labor titánica. La caída de las reservas internacionales del Banco Central de Venezuela, pese al fuerte control de cambios, ha sido monumental: En </w:t>
      </w:r>
      <w:r w:rsidR="00FE065F">
        <w:rPr>
          <w:rFonts w:ascii="Times New Roman" w:hAnsi="Times New Roman"/>
        </w:rPr>
        <w:t>diciembre 19 de 2016</w:t>
      </w:r>
      <w:r>
        <w:rPr>
          <w:rFonts w:ascii="Times New Roman" w:hAnsi="Times New Roman"/>
        </w:rPr>
        <w:t xml:space="preserve"> ascendían a solo 1</w:t>
      </w:r>
      <w:r w:rsidR="00FE065F">
        <w:rPr>
          <w:rFonts w:ascii="Times New Roman" w:hAnsi="Times New Roman"/>
        </w:rPr>
        <w:t>0.999</w:t>
      </w:r>
      <w:r w:rsidR="004B2640">
        <w:rPr>
          <w:rFonts w:ascii="Times New Roman" w:hAnsi="Times New Roman"/>
        </w:rPr>
        <w:t xml:space="preserve"> millones de dólares, aproximadamente una quinta parte de las reservas internacionales del Banco de la República (Colombia). </w:t>
      </w:r>
      <w:r>
        <w:rPr>
          <w:rFonts w:ascii="Times New Roman" w:hAnsi="Times New Roman"/>
        </w:rPr>
        <w:t xml:space="preserve">        </w:t>
      </w:r>
      <w:r>
        <w:rPr>
          <w:rFonts w:ascii="Times New Roman" w:hAnsi="Times New Roman"/>
          <w:lang w:val="es-MX"/>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61"/>
    <w:rsid w:val="0000787A"/>
    <w:rsid w:val="000145F9"/>
    <w:rsid w:val="00024578"/>
    <w:rsid w:val="00027A4E"/>
    <w:rsid w:val="00045100"/>
    <w:rsid w:val="00075E23"/>
    <w:rsid w:val="00080660"/>
    <w:rsid w:val="000827BF"/>
    <w:rsid w:val="00082D98"/>
    <w:rsid w:val="00084731"/>
    <w:rsid w:val="000A5D33"/>
    <w:rsid w:val="000A5F71"/>
    <w:rsid w:val="000D5E91"/>
    <w:rsid w:val="000D7AA5"/>
    <w:rsid w:val="00117710"/>
    <w:rsid w:val="001178CA"/>
    <w:rsid w:val="0013098A"/>
    <w:rsid w:val="0013173A"/>
    <w:rsid w:val="00137A46"/>
    <w:rsid w:val="00137DAC"/>
    <w:rsid w:val="001547DB"/>
    <w:rsid w:val="0016027C"/>
    <w:rsid w:val="001835DB"/>
    <w:rsid w:val="001B6394"/>
    <w:rsid w:val="001D49A0"/>
    <w:rsid w:val="001E61EA"/>
    <w:rsid w:val="001E6A92"/>
    <w:rsid w:val="00237CB9"/>
    <w:rsid w:val="00254FF4"/>
    <w:rsid w:val="00257D22"/>
    <w:rsid w:val="002A1F87"/>
    <w:rsid w:val="002B00E2"/>
    <w:rsid w:val="002F5578"/>
    <w:rsid w:val="002F7A18"/>
    <w:rsid w:val="00305CC2"/>
    <w:rsid w:val="00317921"/>
    <w:rsid w:val="00363B97"/>
    <w:rsid w:val="0037183D"/>
    <w:rsid w:val="003857C5"/>
    <w:rsid w:val="00390F8C"/>
    <w:rsid w:val="00397A61"/>
    <w:rsid w:val="003A1AE7"/>
    <w:rsid w:val="003A7B7A"/>
    <w:rsid w:val="003B7C97"/>
    <w:rsid w:val="003D1A77"/>
    <w:rsid w:val="003D4D01"/>
    <w:rsid w:val="003F2A10"/>
    <w:rsid w:val="003F6640"/>
    <w:rsid w:val="003F694D"/>
    <w:rsid w:val="00407820"/>
    <w:rsid w:val="00414F0E"/>
    <w:rsid w:val="00417DFD"/>
    <w:rsid w:val="00425A46"/>
    <w:rsid w:val="00425F7D"/>
    <w:rsid w:val="004326D4"/>
    <w:rsid w:val="0044656F"/>
    <w:rsid w:val="0044759F"/>
    <w:rsid w:val="00455562"/>
    <w:rsid w:val="0045717D"/>
    <w:rsid w:val="00467B87"/>
    <w:rsid w:val="004A6083"/>
    <w:rsid w:val="004A7537"/>
    <w:rsid w:val="004B2640"/>
    <w:rsid w:val="004C571D"/>
    <w:rsid w:val="004E7D5D"/>
    <w:rsid w:val="00513934"/>
    <w:rsid w:val="005173C3"/>
    <w:rsid w:val="00546B14"/>
    <w:rsid w:val="00551273"/>
    <w:rsid w:val="005548B7"/>
    <w:rsid w:val="00564561"/>
    <w:rsid w:val="00592991"/>
    <w:rsid w:val="005B1892"/>
    <w:rsid w:val="005B20C0"/>
    <w:rsid w:val="005B666A"/>
    <w:rsid w:val="005D29B0"/>
    <w:rsid w:val="005D5EAE"/>
    <w:rsid w:val="005E0047"/>
    <w:rsid w:val="005E0DF2"/>
    <w:rsid w:val="005F404E"/>
    <w:rsid w:val="005F683B"/>
    <w:rsid w:val="00603DDE"/>
    <w:rsid w:val="00613D9E"/>
    <w:rsid w:val="00621300"/>
    <w:rsid w:val="00630D1E"/>
    <w:rsid w:val="0063758A"/>
    <w:rsid w:val="0065120B"/>
    <w:rsid w:val="00652AFA"/>
    <w:rsid w:val="0065787C"/>
    <w:rsid w:val="00667674"/>
    <w:rsid w:val="0067252B"/>
    <w:rsid w:val="0067426C"/>
    <w:rsid w:val="006C5714"/>
    <w:rsid w:val="006E5195"/>
    <w:rsid w:val="00701B0A"/>
    <w:rsid w:val="00716ADF"/>
    <w:rsid w:val="00730E9A"/>
    <w:rsid w:val="00740E97"/>
    <w:rsid w:val="00753473"/>
    <w:rsid w:val="00766A1C"/>
    <w:rsid w:val="007B7641"/>
    <w:rsid w:val="007E2FD1"/>
    <w:rsid w:val="007E6B57"/>
    <w:rsid w:val="007F6A70"/>
    <w:rsid w:val="0081157A"/>
    <w:rsid w:val="00822F3B"/>
    <w:rsid w:val="0083369C"/>
    <w:rsid w:val="00837A77"/>
    <w:rsid w:val="00855CDE"/>
    <w:rsid w:val="00861FD7"/>
    <w:rsid w:val="00865E3A"/>
    <w:rsid w:val="00873012"/>
    <w:rsid w:val="00890169"/>
    <w:rsid w:val="008B4B24"/>
    <w:rsid w:val="008E6AD8"/>
    <w:rsid w:val="0091594E"/>
    <w:rsid w:val="0092625F"/>
    <w:rsid w:val="00933CB0"/>
    <w:rsid w:val="00947DAF"/>
    <w:rsid w:val="00954C3D"/>
    <w:rsid w:val="00955D3C"/>
    <w:rsid w:val="009613BF"/>
    <w:rsid w:val="00971951"/>
    <w:rsid w:val="00995E35"/>
    <w:rsid w:val="009A1039"/>
    <w:rsid w:val="009B3D10"/>
    <w:rsid w:val="009B73F5"/>
    <w:rsid w:val="00A01BD1"/>
    <w:rsid w:val="00A039A0"/>
    <w:rsid w:val="00A15ABB"/>
    <w:rsid w:val="00A254F3"/>
    <w:rsid w:val="00A2725E"/>
    <w:rsid w:val="00A45A74"/>
    <w:rsid w:val="00A552EC"/>
    <w:rsid w:val="00A706D3"/>
    <w:rsid w:val="00A72AA0"/>
    <w:rsid w:val="00A72E83"/>
    <w:rsid w:val="00AA302E"/>
    <w:rsid w:val="00AA6914"/>
    <w:rsid w:val="00AC3476"/>
    <w:rsid w:val="00AF0141"/>
    <w:rsid w:val="00AF14F8"/>
    <w:rsid w:val="00AF1652"/>
    <w:rsid w:val="00B01ED4"/>
    <w:rsid w:val="00B02D2D"/>
    <w:rsid w:val="00B0393B"/>
    <w:rsid w:val="00B0491D"/>
    <w:rsid w:val="00B067DB"/>
    <w:rsid w:val="00B16587"/>
    <w:rsid w:val="00B268B6"/>
    <w:rsid w:val="00B534DF"/>
    <w:rsid w:val="00B57D55"/>
    <w:rsid w:val="00B81E9C"/>
    <w:rsid w:val="00B85DFE"/>
    <w:rsid w:val="00B932B6"/>
    <w:rsid w:val="00B952BB"/>
    <w:rsid w:val="00BA38C2"/>
    <w:rsid w:val="00BA7FD6"/>
    <w:rsid w:val="00BB12BF"/>
    <w:rsid w:val="00BB160D"/>
    <w:rsid w:val="00BD38E0"/>
    <w:rsid w:val="00BD6592"/>
    <w:rsid w:val="00BE6C81"/>
    <w:rsid w:val="00BF5A9F"/>
    <w:rsid w:val="00C10359"/>
    <w:rsid w:val="00C1247A"/>
    <w:rsid w:val="00C32F3F"/>
    <w:rsid w:val="00C3610F"/>
    <w:rsid w:val="00C60E3F"/>
    <w:rsid w:val="00C7031F"/>
    <w:rsid w:val="00C728BA"/>
    <w:rsid w:val="00C9142A"/>
    <w:rsid w:val="00CB3659"/>
    <w:rsid w:val="00CF2FAB"/>
    <w:rsid w:val="00D201C6"/>
    <w:rsid w:val="00D24AFB"/>
    <w:rsid w:val="00D3311A"/>
    <w:rsid w:val="00D35926"/>
    <w:rsid w:val="00D63ABC"/>
    <w:rsid w:val="00D868CA"/>
    <w:rsid w:val="00DA5E36"/>
    <w:rsid w:val="00DA6964"/>
    <w:rsid w:val="00DB2C28"/>
    <w:rsid w:val="00DB5EFE"/>
    <w:rsid w:val="00DB78F9"/>
    <w:rsid w:val="00DD00FD"/>
    <w:rsid w:val="00DD20F5"/>
    <w:rsid w:val="00E1052E"/>
    <w:rsid w:val="00E25146"/>
    <w:rsid w:val="00E314B1"/>
    <w:rsid w:val="00E43D1B"/>
    <w:rsid w:val="00E4486E"/>
    <w:rsid w:val="00E524F1"/>
    <w:rsid w:val="00E531E5"/>
    <w:rsid w:val="00E61DEB"/>
    <w:rsid w:val="00E67305"/>
    <w:rsid w:val="00E677ED"/>
    <w:rsid w:val="00E7531D"/>
    <w:rsid w:val="00EB342C"/>
    <w:rsid w:val="00EC4EE7"/>
    <w:rsid w:val="00ED5447"/>
    <w:rsid w:val="00EE29CF"/>
    <w:rsid w:val="00EE351E"/>
    <w:rsid w:val="00EF6775"/>
    <w:rsid w:val="00EF6902"/>
    <w:rsid w:val="00F03CA7"/>
    <w:rsid w:val="00F07560"/>
    <w:rsid w:val="00F2089F"/>
    <w:rsid w:val="00F22B04"/>
    <w:rsid w:val="00F24922"/>
    <w:rsid w:val="00F41C0E"/>
    <w:rsid w:val="00F45EB1"/>
    <w:rsid w:val="00F50460"/>
    <w:rsid w:val="00F56C6A"/>
    <w:rsid w:val="00F573EA"/>
    <w:rsid w:val="00F61F85"/>
    <w:rsid w:val="00F62D8E"/>
    <w:rsid w:val="00F71B4F"/>
    <w:rsid w:val="00F752EF"/>
    <w:rsid w:val="00F8268C"/>
    <w:rsid w:val="00F87268"/>
    <w:rsid w:val="00F93AD6"/>
    <w:rsid w:val="00FC3292"/>
    <w:rsid w:val="00FD6460"/>
    <w:rsid w:val="00FD7F88"/>
    <w:rsid w:val="00FE065F"/>
    <w:rsid w:val="00FF09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F2230-5732-4A68-8DE8-0C6D5841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7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A61"/>
    <w:rPr>
      <w:rFonts w:ascii="Tahoma" w:hAnsi="Tahoma" w:cs="Tahoma"/>
      <w:sz w:val="16"/>
      <w:szCs w:val="16"/>
    </w:rPr>
  </w:style>
  <w:style w:type="paragraph" w:styleId="Textonotapie">
    <w:name w:val="footnote text"/>
    <w:basedOn w:val="Normal"/>
    <w:link w:val="TextonotapieCar"/>
    <w:uiPriority w:val="99"/>
    <w:semiHidden/>
    <w:unhideWhenUsed/>
    <w:rsid w:val="00363B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3B97"/>
    <w:rPr>
      <w:sz w:val="20"/>
      <w:szCs w:val="20"/>
    </w:rPr>
  </w:style>
  <w:style w:type="character" w:styleId="Refdenotaalpie">
    <w:name w:val="footnote reference"/>
    <w:semiHidden/>
    <w:rsid w:val="00363B97"/>
    <w:rPr>
      <w:rFonts w:ascii="Arial" w:hAnsi="Arial"/>
      <w:sz w:val="20"/>
      <w:vertAlign w:val="superscript"/>
    </w:rPr>
  </w:style>
  <w:style w:type="character" w:styleId="Hipervnculo">
    <w:name w:val="Hyperlink"/>
    <w:basedOn w:val="Fuentedeprrafopredeter"/>
    <w:uiPriority w:val="99"/>
    <w:unhideWhenUsed/>
    <w:rsid w:val="004E7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67004">
      <w:bodyDiv w:val="1"/>
      <w:marLeft w:val="0"/>
      <w:marRight w:val="0"/>
      <w:marTop w:val="0"/>
      <w:marBottom w:val="0"/>
      <w:divBdr>
        <w:top w:val="none" w:sz="0" w:space="0" w:color="auto"/>
        <w:left w:val="none" w:sz="0" w:space="0" w:color="auto"/>
        <w:bottom w:val="none" w:sz="0" w:space="0" w:color="auto"/>
        <w:right w:val="none" w:sz="0" w:space="0" w:color="auto"/>
      </w:divBdr>
    </w:div>
    <w:div w:id="1354068057">
      <w:bodyDiv w:val="1"/>
      <w:marLeft w:val="0"/>
      <w:marRight w:val="0"/>
      <w:marTop w:val="0"/>
      <w:marBottom w:val="0"/>
      <w:divBdr>
        <w:top w:val="none" w:sz="0" w:space="0" w:color="auto"/>
        <w:left w:val="none" w:sz="0" w:space="0" w:color="auto"/>
        <w:bottom w:val="none" w:sz="0" w:space="0" w:color="auto"/>
        <w:right w:val="none" w:sz="0" w:space="0" w:color="auto"/>
      </w:divBdr>
    </w:div>
    <w:div w:id="1521552757">
      <w:bodyDiv w:val="1"/>
      <w:marLeft w:val="0"/>
      <w:marRight w:val="0"/>
      <w:marTop w:val="0"/>
      <w:marBottom w:val="0"/>
      <w:divBdr>
        <w:top w:val="none" w:sz="0" w:space="0" w:color="auto"/>
        <w:left w:val="none" w:sz="0" w:space="0" w:color="auto"/>
        <w:bottom w:val="none" w:sz="0" w:space="0" w:color="auto"/>
        <w:right w:val="none" w:sz="0" w:space="0" w:color="auto"/>
      </w:divBdr>
    </w:div>
    <w:div w:id="16140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folio.co/internacional/que-viene-tras-la-salida-de-circulacion-del-billete-de-100-bolivares-502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26A7-307E-4657-8340-FF7C95E0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1981</Words>
  <Characters>10900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Gloria.Velez</cp:lastModifiedBy>
  <cp:revision>2</cp:revision>
  <dcterms:created xsi:type="dcterms:W3CDTF">2016-12-23T15:01:00Z</dcterms:created>
  <dcterms:modified xsi:type="dcterms:W3CDTF">2016-12-23T15:01:00Z</dcterms:modified>
</cp:coreProperties>
</file>