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473E21">
        <w:t>2</w:t>
      </w:r>
      <w:r w:rsidR="003D39E2">
        <w:t>4</w:t>
      </w:r>
      <w:bookmarkStart w:id="0" w:name="_GoBack"/>
      <w:bookmarkEnd w:id="0"/>
      <w:r w:rsidR="00E663F0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566E1D">
        <w:t>Extra 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C06C7E">
        <w:t>3</w:t>
      </w:r>
      <w:r w:rsidR="00AE5408">
        <w:t>1</w:t>
      </w:r>
      <w:r w:rsidR="00381617">
        <w:t>-</w:t>
      </w:r>
      <w:r w:rsidR="00B22F5E">
        <w:t xml:space="preserve"> </w:t>
      </w:r>
      <w:r w:rsidR="00AE5408">
        <w:t>Mayo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76"/>
        <w:gridCol w:w="1418"/>
        <w:gridCol w:w="7512"/>
      </w:tblGrid>
      <w:tr w:rsidR="00212F85" w:rsidTr="0027787E">
        <w:trPr>
          <w:trHeight w:val="1156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7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C06C7E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27787E" w:rsidP="00C101DC">
            <w:pPr>
              <w:widowControl w:val="0"/>
              <w:spacing w:line="240" w:lineRule="auto"/>
            </w:pPr>
            <w:r>
              <w:t xml:space="preserve">Juan Carlos </w:t>
            </w:r>
            <w:proofErr w:type="spellStart"/>
            <w:r>
              <w:t>Congote</w:t>
            </w:r>
            <w:proofErr w:type="spellEnd"/>
            <w:r>
              <w:t xml:space="preserve"> Lopera- 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27787E" w:rsidP="00C51A60">
            <w:pPr>
              <w:widowControl w:val="0"/>
              <w:spacing w:line="240" w:lineRule="auto"/>
            </w:pPr>
            <w:r>
              <w:t>Justificación repetir curso</w:t>
            </w:r>
          </w:p>
        </w:tc>
        <w:tc>
          <w:tcPr>
            <w:tcW w:w="7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87E" w:rsidRPr="0027787E" w:rsidRDefault="0027787E" w:rsidP="0027787E">
            <w:pPr>
              <w:jc w:val="both"/>
              <w:rPr>
                <w:sz w:val="20"/>
              </w:rPr>
            </w:pPr>
            <w:r w:rsidRPr="0027787E">
              <w:rPr>
                <w:sz w:val="20"/>
              </w:rPr>
              <w:t xml:space="preserve">En la presente reunión se acuerda apoyar la justificación presentada por el Residente de cuarto año doctor Juan Carlos </w:t>
            </w:r>
            <w:proofErr w:type="spellStart"/>
            <w:r w:rsidRPr="0027787E">
              <w:rPr>
                <w:sz w:val="20"/>
              </w:rPr>
              <w:t>Congote</w:t>
            </w:r>
            <w:proofErr w:type="spellEnd"/>
            <w:r w:rsidRPr="0027787E">
              <w:rPr>
                <w:sz w:val="20"/>
              </w:rPr>
              <w:t xml:space="preserve"> Lopera, quien deberá repetir el Curso de ORL Adultos que perdió en el segundo semestre del 2015 y recomendará al Consejo de Facultad y al Comité de Posgrados la exención de la matrícula  para que el cobro sea proporcional al número de créditos del curso que son 8 y  poder  graduarse. Se adjunta a la presente acta justificación y documentos correspondientes a la historia clínica correspondientes a la enfermedad que sufría en ese momento el estudiante.</w:t>
            </w:r>
          </w:p>
          <w:p w:rsidR="0027787E" w:rsidRPr="0027787E" w:rsidRDefault="0027787E" w:rsidP="0027787E">
            <w:pPr>
              <w:jc w:val="both"/>
              <w:rPr>
                <w:sz w:val="20"/>
              </w:rPr>
            </w:pPr>
            <w:r w:rsidRPr="0027787E">
              <w:rPr>
                <w:sz w:val="20"/>
              </w:rPr>
              <w:t>Es de anotar que el Jefe del Programa, doctor Jorge Puerta Ayala y el Coordinador de Residentes, doctor Juan Guillermo Sánchez, apoyan al estudiante y recomiendan al Consejo de Facultad y al Comité de Posgrados la exención de la matrícula para que el cobro sea proporcional al número de créditos que tiene el curso perdido y el doctor José Mario Jalil, Representante de los profesores, se acoge a la decisión que tome el Consejo de Facultad y el Comité de Posgrados, ya que a su consideración no es apropiado emitir un concepto y valorar su estrés y preocupación  ante la evolución de su patología.</w:t>
            </w:r>
          </w:p>
          <w:p w:rsidR="004D5297" w:rsidRPr="0027787E" w:rsidRDefault="004D5297" w:rsidP="001F1479">
            <w:pPr>
              <w:spacing w:line="240" w:lineRule="exact"/>
              <w:jc w:val="both"/>
              <w:rPr>
                <w:lang w:val="es-CO"/>
              </w:rPr>
            </w:pP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272F4"/>
    <w:rsid w:val="00255DB4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55A45"/>
    <w:rsid w:val="0086119D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0E4B-FBB1-49FE-B214-AB178459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9</cp:revision>
  <dcterms:created xsi:type="dcterms:W3CDTF">2017-10-18T14:54:00Z</dcterms:created>
  <dcterms:modified xsi:type="dcterms:W3CDTF">2017-10-18T14:58:00Z</dcterms:modified>
</cp:coreProperties>
</file>