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1E8" w:rsidRPr="00625AE0" w:rsidRDefault="003F71E8" w:rsidP="003F71E8">
      <w:pPr>
        <w:jc w:val="both"/>
        <w:rPr>
          <w:rFonts w:asciiTheme="minorHAnsi" w:hAnsiTheme="minorHAnsi" w:cstheme="minorHAnsi"/>
          <w:sz w:val="22"/>
          <w:szCs w:val="22"/>
          <w:lang w:val="es-CO"/>
        </w:rPr>
      </w:pPr>
    </w:p>
    <w:p w:rsidR="00BA2D61" w:rsidRPr="00625AE0" w:rsidRDefault="00BA2D61" w:rsidP="00EB5EDA">
      <w:pPr>
        <w:ind w:left="360"/>
        <w:jc w:val="both"/>
        <w:rPr>
          <w:rFonts w:asciiTheme="minorHAnsi" w:hAnsiTheme="minorHAnsi" w:cstheme="minorHAnsi"/>
          <w:noProof/>
          <w:sz w:val="22"/>
          <w:szCs w:val="22"/>
          <w:lang w:val="es-CO" w:eastAsia="es-CO"/>
        </w:rPr>
      </w:pP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675EDD" w:rsidTr="00675EDD">
        <w:tc>
          <w:tcPr>
            <w:tcW w:w="3260" w:type="dxa"/>
            <w:tcBorders>
              <w:top w:val="single" w:sz="4" w:space="0" w:color="000000"/>
              <w:left w:val="single" w:sz="4" w:space="0" w:color="000000"/>
              <w:bottom w:val="single" w:sz="4" w:space="0" w:color="000000"/>
              <w:right w:val="single" w:sz="4" w:space="0" w:color="000000"/>
            </w:tcBorders>
            <w:hideMark/>
          </w:tcPr>
          <w:p w:rsidR="00675EDD" w:rsidRDefault="00675EDD" w:rsidP="002F6D8D">
            <w:pPr>
              <w:jc w:val="both"/>
              <w:rPr>
                <w:rFonts w:ascii="Calibri" w:hAnsi="Calibri"/>
                <w:lang w:val="es-CO"/>
              </w:rPr>
            </w:pPr>
            <w:r>
              <w:rPr>
                <w:rFonts w:ascii="Calibri" w:hAnsi="Calibri"/>
                <w:sz w:val="22"/>
                <w:szCs w:val="22"/>
                <w:lang w:val="es-CO"/>
              </w:rPr>
              <w:t xml:space="preserve">APROBADO EN EL CONSEJO DE </w:t>
            </w:r>
          </w:p>
          <w:p w:rsidR="00675EDD" w:rsidRDefault="00675EDD" w:rsidP="002F6D8D">
            <w:pPr>
              <w:jc w:val="both"/>
              <w:rPr>
                <w:rFonts w:ascii="Calibri" w:hAnsi="Calibri"/>
                <w:lang w:val="es-CO"/>
              </w:rPr>
            </w:pPr>
            <w:r>
              <w:rPr>
                <w:rFonts w:ascii="Calibri" w:hAnsi="Calibri"/>
                <w:sz w:val="22"/>
                <w:szCs w:val="22"/>
                <w:lang w:val="es-CO"/>
              </w:rPr>
              <w:t>FACULTAD DE CIENCIAS ECONÓMICAS. ACTA 2014-II-10 DE MARZO 24 DE 2015</w:t>
            </w:r>
          </w:p>
        </w:tc>
      </w:tr>
    </w:tbl>
    <w:p w:rsidR="00A6395E" w:rsidRPr="00625AE0" w:rsidRDefault="00A6395E" w:rsidP="00A6395E">
      <w:pPr>
        <w:ind w:left="360"/>
        <w:jc w:val="center"/>
        <w:rPr>
          <w:rFonts w:asciiTheme="minorHAnsi" w:hAnsiTheme="minorHAnsi" w:cstheme="minorHAnsi"/>
          <w:b/>
          <w:noProof/>
          <w:sz w:val="22"/>
          <w:szCs w:val="22"/>
          <w:lang w:val="es-CO" w:eastAsia="es-CO"/>
        </w:rPr>
      </w:pPr>
    </w:p>
    <w:p w:rsidR="00675EDD" w:rsidRDefault="00675EDD" w:rsidP="00A6395E">
      <w:pPr>
        <w:ind w:left="360"/>
        <w:jc w:val="center"/>
        <w:rPr>
          <w:rFonts w:asciiTheme="minorHAnsi" w:hAnsiTheme="minorHAnsi" w:cstheme="minorHAnsi"/>
          <w:b/>
          <w:noProof/>
          <w:sz w:val="22"/>
          <w:szCs w:val="22"/>
          <w:lang w:val="es-CO" w:eastAsia="es-CO"/>
        </w:rPr>
      </w:pPr>
    </w:p>
    <w:p w:rsidR="00675EDD" w:rsidRDefault="00675EDD" w:rsidP="00A6395E">
      <w:pPr>
        <w:ind w:left="360"/>
        <w:jc w:val="center"/>
        <w:rPr>
          <w:rFonts w:asciiTheme="minorHAnsi" w:hAnsiTheme="minorHAnsi" w:cstheme="minorHAnsi"/>
          <w:b/>
          <w:noProof/>
          <w:sz w:val="22"/>
          <w:szCs w:val="22"/>
          <w:lang w:val="es-CO" w:eastAsia="es-CO"/>
        </w:rPr>
      </w:pPr>
    </w:p>
    <w:p w:rsidR="00675EDD" w:rsidRDefault="00675EDD" w:rsidP="00A6395E">
      <w:pPr>
        <w:ind w:left="360"/>
        <w:jc w:val="center"/>
        <w:rPr>
          <w:rFonts w:asciiTheme="minorHAnsi" w:hAnsiTheme="minorHAnsi" w:cstheme="minorHAnsi"/>
          <w:b/>
          <w:noProof/>
          <w:sz w:val="22"/>
          <w:szCs w:val="22"/>
          <w:lang w:val="es-CO" w:eastAsia="es-CO"/>
        </w:rPr>
      </w:pPr>
    </w:p>
    <w:p w:rsidR="00A6395E" w:rsidRPr="00625AE0" w:rsidRDefault="00A6395E" w:rsidP="00A6395E">
      <w:pPr>
        <w:ind w:left="360"/>
        <w:jc w:val="center"/>
        <w:rPr>
          <w:rFonts w:asciiTheme="minorHAnsi" w:hAnsiTheme="minorHAnsi" w:cstheme="minorHAnsi"/>
          <w:b/>
          <w:noProof/>
          <w:sz w:val="22"/>
          <w:szCs w:val="22"/>
          <w:lang w:val="es-CO" w:eastAsia="es-CO"/>
        </w:rPr>
      </w:pPr>
      <w:bookmarkStart w:id="0" w:name="_GoBack"/>
      <w:bookmarkEnd w:id="0"/>
      <w:r w:rsidRPr="00625AE0">
        <w:rPr>
          <w:rFonts w:asciiTheme="minorHAnsi" w:hAnsiTheme="minorHAnsi" w:cstheme="minorHAnsi"/>
          <w:b/>
          <w:noProof/>
          <w:sz w:val="22"/>
          <w:szCs w:val="22"/>
          <w:lang w:val="es-CO" w:eastAsia="es-CO"/>
        </w:rPr>
        <w:t xml:space="preserve">PROGRAMA DE </w:t>
      </w:r>
      <w:r w:rsidR="00625AE0" w:rsidRPr="00625AE0">
        <w:rPr>
          <w:rFonts w:asciiTheme="minorHAnsi" w:hAnsiTheme="minorHAnsi" w:cstheme="minorHAnsi"/>
          <w:b/>
          <w:noProof/>
          <w:sz w:val="22"/>
          <w:szCs w:val="22"/>
          <w:lang w:val="es-CO" w:eastAsia="es-CO"/>
        </w:rPr>
        <w:t>MACROECONOMÍA III</w:t>
      </w:r>
      <w:r w:rsidRPr="00625AE0">
        <w:rPr>
          <w:rFonts w:asciiTheme="minorHAnsi" w:hAnsiTheme="minorHAnsi" w:cstheme="minorHAnsi"/>
          <w:b/>
          <w:noProof/>
          <w:sz w:val="22"/>
          <w:szCs w:val="22"/>
          <w:lang w:val="es-CO" w:eastAsia="es-CO"/>
        </w:rPr>
        <w:t xml:space="preserve"> </w:t>
      </w:r>
    </w:p>
    <w:p w:rsidR="00A6395E" w:rsidRPr="00625AE0" w:rsidRDefault="00A6395E" w:rsidP="00A6395E">
      <w:pPr>
        <w:ind w:left="360"/>
        <w:jc w:val="both"/>
        <w:rPr>
          <w:rFonts w:asciiTheme="minorHAnsi" w:hAnsiTheme="minorHAnsi" w:cstheme="minorHAnsi"/>
          <w:b/>
          <w:noProof/>
          <w:sz w:val="22"/>
          <w:szCs w:val="22"/>
          <w:lang w:val="es-CO" w:eastAsia="es-CO"/>
        </w:rPr>
      </w:pPr>
    </w:p>
    <w:p w:rsidR="00A6395E" w:rsidRPr="00625AE0" w:rsidRDefault="00A6395E" w:rsidP="00A6395E">
      <w:pPr>
        <w:ind w:left="360"/>
        <w:jc w:val="center"/>
        <w:rPr>
          <w:rFonts w:asciiTheme="minorHAnsi" w:hAnsiTheme="minorHAnsi"/>
          <w:sz w:val="22"/>
          <w:szCs w:val="22"/>
          <w:lang w:val="es-CO"/>
        </w:rPr>
      </w:pPr>
      <w:r w:rsidRPr="00625AE0">
        <w:rPr>
          <w:rFonts w:asciiTheme="minorHAnsi" w:hAnsiTheme="minorHAnsi"/>
          <w:sz w:val="22"/>
          <w:szCs w:val="22"/>
          <w:lang w:val="es-CO"/>
        </w:rPr>
        <w:t>El presente formato tiene la finalidad de unificar la presentación de los programas correspondientes a los cursos ofrecidos por el Departamento de ciencias administrativas.</w:t>
      </w:r>
    </w:p>
    <w:p w:rsidR="00BA2D61" w:rsidRPr="00625AE0" w:rsidRDefault="00BA2D61" w:rsidP="00EB5EDA">
      <w:pPr>
        <w:ind w:left="360"/>
        <w:jc w:val="both"/>
        <w:rPr>
          <w:rFonts w:asciiTheme="minorHAnsi" w:hAnsiTheme="minorHAnsi" w:cstheme="minorHAnsi"/>
          <w:noProof/>
          <w:sz w:val="22"/>
          <w:szCs w:val="22"/>
          <w:lang w:val="es-CO" w:eastAsia="es-CO"/>
        </w:rPr>
      </w:pPr>
    </w:p>
    <w:p w:rsidR="00BA2D61" w:rsidRPr="00625AE0" w:rsidRDefault="00EB5EDA" w:rsidP="00EB5EDA">
      <w:pPr>
        <w:ind w:left="360"/>
        <w:jc w:val="both"/>
        <w:rPr>
          <w:rFonts w:asciiTheme="minorHAnsi" w:hAnsiTheme="minorHAnsi" w:cstheme="minorHAnsi"/>
          <w:sz w:val="22"/>
          <w:szCs w:val="22"/>
          <w:lang w:val="es-CO"/>
        </w:rPr>
      </w:pPr>
      <w:r w:rsidRPr="00625AE0">
        <w:rPr>
          <w:rFonts w:asciiTheme="minorHAnsi" w:hAnsiTheme="minorHAnsi" w:cstheme="minorHAnsi"/>
          <w:sz w:val="22"/>
          <w:szCs w:val="22"/>
          <w:lang w:val="es-CO"/>
        </w:rPr>
        <w:t xml:space="preserve">   </w:t>
      </w: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6379"/>
      </w:tblGrid>
      <w:tr w:rsidR="00BA2D61" w:rsidRPr="00625AE0" w:rsidTr="00A27B08">
        <w:tc>
          <w:tcPr>
            <w:tcW w:w="2725" w:type="dxa"/>
          </w:tcPr>
          <w:p w:rsidR="00BA2D61" w:rsidRPr="00625AE0" w:rsidRDefault="00BA2D61" w:rsidP="00DE08D9">
            <w:pPr>
              <w:rPr>
                <w:rFonts w:asciiTheme="minorHAnsi" w:hAnsiTheme="minorHAnsi"/>
                <w:b/>
                <w:sz w:val="22"/>
                <w:szCs w:val="22"/>
              </w:rPr>
            </w:pPr>
            <w:r w:rsidRPr="00625AE0">
              <w:rPr>
                <w:rFonts w:asciiTheme="minorHAnsi" w:hAnsiTheme="minorHAnsi"/>
                <w:b/>
                <w:sz w:val="22"/>
                <w:szCs w:val="22"/>
              </w:rPr>
              <w:t>NOMBRE DE LA MATERIA</w:t>
            </w:r>
          </w:p>
        </w:tc>
        <w:tc>
          <w:tcPr>
            <w:tcW w:w="6379" w:type="dxa"/>
          </w:tcPr>
          <w:p w:rsidR="00BA2D61" w:rsidRPr="00625AE0" w:rsidRDefault="00625AE0" w:rsidP="00DE08D9">
            <w:pPr>
              <w:rPr>
                <w:rFonts w:asciiTheme="minorHAnsi" w:hAnsiTheme="minorHAnsi"/>
                <w:sz w:val="22"/>
                <w:szCs w:val="22"/>
              </w:rPr>
            </w:pPr>
            <w:r w:rsidRPr="00625AE0">
              <w:rPr>
                <w:rFonts w:asciiTheme="minorHAnsi" w:hAnsiTheme="minorHAnsi" w:cstheme="minorHAnsi"/>
                <w:b/>
                <w:sz w:val="22"/>
                <w:szCs w:val="22"/>
              </w:rPr>
              <w:t xml:space="preserve">MACROECONOMÍA III </w:t>
            </w:r>
            <w:r w:rsidR="00BA2D61" w:rsidRPr="00625AE0">
              <w:rPr>
                <w:rFonts w:asciiTheme="minorHAnsi" w:hAnsiTheme="minorHAnsi" w:cstheme="minorHAnsi"/>
                <w:b/>
                <w:sz w:val="22"/>
                <w:szCs w:val="22"/>
              </w:rPr>
              <w:t xml:space="preserve"> </w:t>
            </w:r>
          </w:p>
        </w:tc>
      </w:tr>
      <w:tr w:rsidR="002E482A" w:rsidRPr="00625AE0" w:rsidTr="00A27B08">
        <w:tc>
          <w:tcPr>
            <w:tcW w:w="2725" w:type="dxa"/>
          </w:tcPr>
          <w:p w:rsidR="002E482A" w:rsidRPr="00625AE0" w:rsidRDefault="002E482A" w:rsidP="00DE08D9">
            <w:pPr>
              <w:rPr>
                <w:rFonts w:asciiTheme="minorHAnsi" w:hAnsiTheme="minorHAnsi"/>
                <w:b/>
                <w:sz w:val="22"/>
                <w:szCs w:val="22"/>
              </w:rPr>
            </w:pPr>
            <w:r w:rsidRPr="00625AE0">
              <w:rPr>
                <w:rFonts w:asciiTheme="minorHAnsi" w:hAnsiTheme="minorHAnsi"/>
                <w:b/>
                <w:sz w:val="22"/>
                <w:szCs w:val="22"/>
              </w:rPr>
              <w:t xml:space="preserve">PROFESOR </w:t>
            </w:r>
          </w:p>
        </w:tc>
        <w:tc>
          <w:tcPr>
            <w:tcW w:w="6379" w:type="dxa"/>
          </w:tcPr>
          <w:p w:rsidR="002E482A" w:rsidRPr="00625AE0" w:rsidRDefault="00625AE0" w:rsidP="00DE08D9">
            <w:pPr>
              <w:rPr>
                <w:rFonts w:asciiTheme="minorHAnsi" w:hAnsiTheme="minorHAnsi" w:cs="Calibri"/>
                <w:b/>
                <w:sz w:val="22"/>
                <w:szCs w:val="22"/>
                <w:lang w:val="es-CO"/>
              </w:rPr>
            </w:pPr>
            <w:r w:rsidRPr="00625AE0">
              <w:rPr>
                <w:rFonts w:asciiTheme="minorHAnsi" w:hAnsiTheme="minorHAnsi" w:cs="Calibri"/>
                <w:b/>
                <w:sz w:val="22"/>
                <w:szCs w:val="22"/>
                <w:lang w:val="es-CO"/>
              </w:rPr>
              <w:t>Catalina Granda Carvajal (cgranda@udea.edu.co)</w:t>
            </w:r>
          </w:p>
        </w:tc>
      </w:tr>
      <w:tr w:rsidR="002E482A" w:rsidRPr="00625AE0" w:rsidTr="00A27B08">
        <w:tc>
          <w:tcPr>
            <w:tcW w:w="2725" w:type="dxa"/>
          </w:tcPr>
          <w:p w:rsidR="002E482A" w:rsidRPr="00625AE0" w:rsidRDefault="005728EC" w:rsidP="00DE08D9">
            <w:pPr>
              <w:rPr>
                <w:rFonts w:asciiTheme="minorHAnsi" w:hAnsiTheme="minorHAnsi"/>
                <w:b/>
                <w:sz w:val="22"/>
                <w:szCs w:val="22"/>
              </w:rPr>
            </w:pPr>
            <w:r w:rsidRPr="00625AE0">
              <w:rPr>
                <w:rFonts w:asciiTheme="minorHAnsi" w:hAnsiTheme="minorHAnsi"/>
                <w:b/>
                <w:sz w:val="22"/>
                <w:szCs w:val="22"/>
              </w:rPr>
              <w:t>OFICINA</w:t>
            </w:r>
          </w:p>
        </w:tc>
        <w:tc>
          <w:tcPr>
            <w:tcW w:w="6379" w:type="dxa"/>
          </w:tcPr>
          <w:p w:rsidR="002E482A" w:rsidRPr="00625AE0" w:rsidRDefault="00F95F43" w:rsidP="00F95F43">
            <w:pPr>
              <w:rPr>
                <w:rFonts w:asciiTheme="minorHAnsi" w:hAnsiTheme="minorHAnsi" w:cs="Calibri"/>
                <w:sz w:val="22"/>
                <w:szCs w:val="22"/>
                <w:lang w:val="es-CO"/>
              </w:rPr>
            </w:pPr>
            <w:r w:rsidRPr="00625AE0">
              <w:rPr>
                <w:rFonts w:asciiTheme="minorHAnsi" w:hAnsiTheme="minorHAnsi" w:cs="Calibri"/>
                <w:sz w:val="22"/>
                <w:szCs w:val="22"/>
                <w:lang w:val="es-CO"/>
              </w:rPr>
              <w:t xml:space="preserve">Bloque </w:t>
            </w:r>
            <w:r w:rsidR="00625AE0" w:rsidRPr="00625AE0">
              <w:rPr>
                <w:rFonts w:asciiTheme="minorHAnsi" w:hAnsiTheme="minorHAnsi" w:cs="Calibri"/>
                <w:sz w:val="22"/>
                <w:szCs w:val="22"/>
                <w:lang w:val="es-CO"/>
              </w:rPr>
              <w:t>13-405</w:t>
            </w:r>
          </w:p>
        </w:tc>
      </w:tr>
      <w:tr w:rsidR="00F95F43" w:rsidRPr="00625AE0" w:rsidTr="00A27B08">
        <w:tc>
          <w:tcPr>
            <w:tcW w:w="2725" w:type="dxa"/>
          </w:tcPr>
          <w:p w:rsidR="00F95F43" w:rsidRPr="00625AE0" w:rsidRDefault="00F95F43" w:rsidP="00DE08D9">
            <w:pPr>
              <w:rPr>
                <w:rFonts w:asciiTheme="minorHAnsi" w:hAnsiTheme="minorHAnsi"/>
                <w:b/>
                <w:sz w:val="22"/>
                <w:szCs w:val="22"/>
              </w:rPr>
            </w:pPr>
            <w:r w:rsidRPr="00625AE0">
              <w:rPr>
                <w:rFonts w:asciiTheme="minorHAnsi" w:hAnsiTheme="minorHAnsi"/>
                <w:b/>
                <w:sz w:val="22"/>
                <w:szCs w:val="22"/>
              </w:rPr>
              <w:t>HORARIO DE CLASE</w:t>
            </w:r>
          </w:p>
        </w:tc>
        <w:tc>
          <w:tcPr>
            <w:tcW w:w="6379" w:type="dxa"/>
          </w:tcPr>
          <w:p w:rsidR="00F95F43" w:rsidRPr="00625AE0" w:rsidRDefault="000E0199" w:rsidP="00F95F43">
            <w:pPr>
              <w:rPr>
                <w:rFonts w:asciiTheme="minorHAnsi" w:hAnsiTheme="minorHAnsi" w:cs="Calibri"/>
                <w:sz w:val="22"/>
                <w:szCs w:val="22"/>
                <w:lang w:val="es-CO"/>
              </w:rPr>
            </w:pPr>
            <w:r>
              <w:rPr>
                <w:rFonts w:asciiTheme="minorHAnsi" w:hAnsiTheme="minorHAnsi" w:cs="Calibri"/>
                <w:sz w:val="22"/>
                <w:szCs w:val="22"/>
                <w:lang w:val="es-CO"/>
              </w:rPr>
              <w:t>L – J : 16 - 18</w:t>
            </w:r>
            <w:r w:rsidR="00625AE0" w:rsidRPr="00625AE0">
              <w:rPr>
                <w:rFonts w:asciiTheme="minorHAnsi" w:hAnsiTheme="minorHAnsi" w:cs="Calibri"/>
                <w:sz w:val="22"/>
                <w:szCs w:val="22"/>
                <w:lang w:val="es-CO"/>
              </w:rPr>
              <w:t xml:space="preserve"> </w:t>
            </w:r>
            <w:r w:rsidR="00F95F43" w:rsidRPr="00625AE0">
              <w:rPr>
                <w:rFonts w:asciiTheme="minorHAnsi" w:hAnsiTheme="minorHAnsi" w:cs="Calibri"/>
                <w:sz w:val="22"/>
                <w:szCs w:val="22"/>
                <w:lang w:val="es-CO"/>
              </w:rPr>
              <w:t xml:space="preserve"> </w:t>
            </w:r>
          </w:p>
        </w:tc>
      </w:tr>
    </w:tbl>
    <w:p w:rsidR="003F71E8" w:rsidRPr="00625AE0" w:rsidRDefault="00EB5EDA" w:rsidP="00F95F43">
      <w:pPr>
        <w:ind w:left="360"/>
        <w:jc w:val="both"/>
        <w:rPr>
          <w:rFonts w:asciiTheme="minorHAnsi" w:hAnsiTheme="minorHAnsi" w:cstheme="minorHAnsi"/>
          <w:sz w:val="22"/>
          <w:szCs w:val="22"/>
          <w:lang w:val="es-CO"/>
        </w:rPr>
      </w:pPr>
      <w:r w:rsidRPr="00625AE0">
        <w:rPr>
          <w:rFonts w:asciiTheme="minorHAnsi" w:hAnsiTheme="minorHAnsi" w:cstheme="minorHAnsi"/>
          <w:sz w:val="22"/>
          <w:szCs w:val="22"/>
          <w:lang w:val="es-CO"/>
        </w:rPr>
        <w:t xml:space="preserve">                                                   </w:t>
      </w:r>
      <w:r w:rsidR="00C71987" w:rsidRPr="00625AE0">
        <w:rPr>
          <w:rFonts w:asciiTheme="minorHAnsi" w:hAnsiTheme="minorHAnsi" w:cstheme="minorHAnsi"/>
          <w:sz w:val="22"/>
          <w:szCs w:val="22"/>
          <w:lang w:val="es-CO"/>
        </w:rPr>
        <w:t xml:space="preserve">                          </w:t>
      </w:r>
      <w:r w:rsidR="00C71987" w:rsidRPr="00625AE0">
        <w:rPr>
          <w:rFonts w:asciiTheme="minorHAnsi" w:hAnsiTheme="minorHAnsi" w:cstheme="minorHAnsi"/>
          <w:sz w:val="22"/>
          <w:szCs w:val="22"/>
          <w:lang w:val="es-CO"/>
        </w:rPr>
        <w:tab/>
      </w:r>
    </w:p>
    <w:p w:rsidR="003F71E8" w:rsidRPr="00625AE0" w:rsidRDefault="00F95F43" w:rsidP="003F71E8">
      <w:pPr>
        <w:rPr>
          <w:rFonts w:asciiTheme="minorHAnsi" w:hAnsiTheme="minorHAnsi" w:cstheme="minorHAnsi"/>
          <w:b/>
          <w:sz w:val="22"/>
          <w:szCs w:val="22"/>
          <w:lang w:val="es-CO"/>
        </w:rPr>
      </w:pPr>
      <w:r w:rsidRPr="00625AE0">
        <w:rPr>
          <w:rFonts w:asciiTheme="minorHAnsi" w:hAnsiTheme="minorHAnsi" w:cstheme="minorHAnsi"/>
          <w:b/>
          <w:sz w:val="22"/>
          <w:szCs w:val="22"/>
          <w:lang w:val="es-CO"/>
        </w:rPr>
        <w:t>INFORMACIÓ</w:t>
      </w:r>
      <w:r w:rsidR="003F71E8" w:rsidRPr="00625AE0">
        <w:rPr>
          <w:rFonts w:asciiTheme="minorHAnsi" w:hAnsiTheme="minorHAnsi" w:cstheme="minorHAnsi"/>
          <w:b/>
          <w:sz w:val="22"/>
          <w:szCs w:val="22"/>
          <w:lang w:val="es-CO"/>
        </w:rPr>
        <w:t>N GENERAL</w:t>
      </w:r>
    </w:p>
    <w:p w:rsidR="003F71E8" w:rsidRPr="00625AE0" w:rsidRDefault="003F71E8" w:rsidP="003F71E8">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625AE0" w:rsidRPr="00625AE0" w:rsidTr="00184B3C">
        <w:tc>
          <w:tcPr>
            <w:tcW w:w="3204" w:type="dxa"/>
            <w:shd w:val="clear" w:color="auto" w:fill="auto"/>
          </w:tcPr>
          <w:p w:rsidR="00625AE0" w:rsidRPr="00625AE0" w:rsidRDefault="00625AE0" w:rsidP="00184B3C">
            <w:pPr>
              <w:rPr>
                <w:rFonts w:asciiTheme="minorHAnsi" w:hAnsiTheme="minorHAnsi" w:cstheme="minorHAnsi"/>
                <w:b/>
                <w:sz w:val="22"/>
                <w:szCs w:val="22"/>
                <w:lang w:val="es-CO"/>
              </w:rPr>
            </w:pPr>
            <w:r w:rsidRPr="00625AE0">
              <w:rPr>
                <w:rFonts w:asciiTheme="minorHAnsi" w:hAnsiTheme="minorHAnsi" w:cstheme="minorHAnsi"/>
                <w:b/>
                <w:sz w:val="22"/>
                <w:szCs w:val="22"/>
                <w:lang w:val="es-CO"/>
              </w:rPr>
              <w:t>Código</w:t>
            </w:r>
          </w:p>
        </w:tc>
        <w:tc>
          <w:tcPr>
            <w:tcW w:w="5866" w:type="dxa"/>
            <w:shd w:val="clear" w:color="auto" w:fill="auto"/>
          </w:tcPr>
          <w:p w:rsidR="00625AE0" w:rsidRPr="00625AE0" w:rsidRDefault="00625AE0" w:rsidP="00184B3C">
            <w:pPr>
              <w:rPr>
                <w:rFonts w:asciiTheme="minorHAnsi" w:hAnsiTheme="minorHAnsi" w:cstheme="minorHAnsi"/>
                <w:sz w:val="22"/>
                <w:szCs w:val="22"/>
                <w:lang w:val="es-CO"/>
              </w:rPr>
            </w:pPr>
            <w:r w:rsidRPr="00625AE0">
              <w:rPr>
                <w:rFonts w:asciiTheme="minorHAnsi" w:hAnsiTheme="minorHAnsi" w:cstheme="minorHAnsi"/>
                <w:sz w:val="22"/>
                <w:szCs w:val="22"/>
                <w:lang w:val="es-CO"/>
              </w:rPr>
              <w:t>1503713</w:t>
            </w:r>
          </w:p>
        </w:tc>
      </w:tr>
      <w:tr w:rsidR="00625AE0" w:rsidRPr="00625AE0" w:rsidTr="00184B3C">
        <w:tc>
          <w:tcPr>
            <w:tcW w:w="3204" w:type="dxa"/>
            <w:shd w:val="clear" w:color="auto" w:fill="auto"/>
          </w:tcPr>
          <w:p w:rsidR="00625AE0" w:rsidRPr="00625AE0" w:rsidRDefault="00625AE0" w:rsidP="00184B3C">
            <w:pPr>
              <w:rPr>
                <w:rFonts w:asciiTheme="minorHAnsi" w:hAnsiTheme="minorHAnsi" w:cstheme="minorHAnsi"/>
                <w:b/>
                <w:sz w:val="22"/>
                <w:szCs w:val="22"/>
                <w:lang w:val="es-CO"/>
              </w:rPr>
            </w:pPr>
            <w:r w:rsidRPr="00625AE0">
              <w:rPr>
                <w:rFonts w:asciiTheme="minorHAnsi" w:hAnsiTheme="minorHAnsi" w:cstheme="minorHAnsi"/>
                <w:b/>
                <w:sz w:val="22"/>
                <w:szCs w:val="22"/>
                <w:lang w:val="es-CO"/>
              </w:rPr>
              <w:t>Créditos</w:t>
            </w:r>
          </w:p>
        </w:tc>
        <w:tc>
          <w:tcPr>
            <w:tcW w:w="5866" w:type="dxa"/>
            <w:shd w:val="clear" w:color="auto" w:fill="auto"/>
          </w:tcPr>
          <w:p w:rsidR="00625AE0" w:rsidRPr="00625AE0" w:rsidRDefault="00625AE0" w:rsidP="00184B3C">
            <w:pPr>
              <w:rPr>
                <w:rFonts w:asciiTheme="minorHAnsi" w:hAnsiTheme="minorHAnsi" w:cstheme="minorHAnsi"/>
                <w:sz w:val="22"/>
                <w:szCs w:val="22"/>
                <w:lang w:val="es-CO"/>
              </w:rPr>
            </w:pPr>
            <w:r w:rsidRPr="00625AE0">
              <w:rPr>
                <w:rFonts w:asciiTheme="minorHAnsi" w:hAnsiTheme="minorHAnsi" w:cstheme="minorHAnsi"/>
                <w:sz w:val="22"/>
                <w:szCs w:val="22"/>
                <w:lang w:val="es-CO"/>
              </w:rPr>
              <w:t>3</w:t>
            </w:r>
          </w:p>
        </w:tc>
      </w:tr>
      <w:tr w:rsidR="00625AE0" w:rsidRPr="00625AE0" w:rsidTr="00184B3C">
        <w:tc>
          <w:tcPr>
            <w:tcW w:w="3204" w:type="dxa"/>
            <w:shd w:val="clear" w:color="auto" w:fill="auto"/>
          </w:tcPr>
          <w:p w:rsidR="00625AE0" w:rsidRPr="00625AE0" w:rsidRDefault="00625AE0" w:rsidP="00184B3C">
            <w:pPr>
              <w:rPr>
                <w:rFonts w:asciiTheme="minorHAnsi" w:hAnsiTheme="minorHAnsi" w:cstheme="minorHAnsi"/>
                <w:b/>
                <w:sz w:val="22"/>
                <w:szCs w:val="22"/>
                <w:lang w:val="es-CO"/>
              </w:rPr>
            </w:pPr>
            <w:r w:rsidRPr="00625AE0">
              <w:rPr>
                <w:rFonts w:asciiTheme="minorHAnsi" w:hAnsiTheme="minorHAnsi" w:cstheme="minorHAnsi"/>
                <w:b/>
                <w:sz w:val="22"/>
                <w:szCs w:val="22"/>
                <w:lang w:val="es-CO"/>
              </w:rPr>
              <w:t>Horas docencia aula semanales</w:t>
            </w:r>
          </w:p>
        </w:tc>
        <w:tc>
          <w:tcPr>
            <w:tcW w:w="5866" w:type="dxa"/>
            <w:shd w:val="clear" w:color="auto" w:fill="auto"/>
          </w:tcPr>
          <w:p w:rsidR="00625AE0" w:rsidRPr="00625AE0" w:rsidRDefault="00625AE0" w:rsidP="00184B3C">
            <w:pPr>
              <w:rPr>
                <w:rFonts w:asciiTheme="minorHAnsi" w:hAnsiTheme="minorHAnsi" w:cstheme="minorHAnsi"/>
                <w:sz w:val="22"/>
                <w:szCs w:val="22"/>
                <w:lang w:val="es-CO"/>
              </w:rPr>
            </w:pPr>
            <w:r w:rsidRPr="00625AE0">
              <w:rPr>
                <w:rFonts w:asciiTheme="minorHAnsi" w:hAnsiTheme="minorHAnsi" w:cstheme="minorHAnsi"/>
                <w:sz w:val="22"/>
                <w:szCs w:val="22"/>
                <w:lang w:val="es-CO"/>
              </w:rPr>
              <w:t>4</w:t>
            </w:r>
          </w:p>
        </w:tc>
      </w:tr>
      <w:tr w:rsidR="00625AE0" w:rsidRPr="00625AE0" w:rsidTr="00184B3C">
        <w:tc>
          <w:tcPr>
            <w:tcW w:w="3204" w:type="dxa"/>
            <w:shd w:val="clear" w:color="auto" w:fill="auto"/>
          </w:tcPr>
          <w:p w:rsidR="00625AE0" w:rsidRPr="00625AE0" w:rsidRDefault="00625AE0" w:rsidP="00184B3C">
            <w:pPr>
              <w:rPr>
                <w:rFonts w:asciiTheme="minorHAnsi" w:hAnsiTheme="minorHAnsi" w:cstheme="minorHAnsi"/>
                <w:b/>
                <w:sz w:val="22"/>
                <w:szCs w:val="22"/>
                <w:lang w:val="es-CO"/>
              </w:rPr>
            </w:pPr>
            <w:r w:rsidRPr="00625AE0">
              <w:rPr>
                <w:rFonts w:asciiTheme="minorHAnsi" w:hAnsiTheme="minorHAnsi" w:cstheme="minorHAnsi"/>
                <w:b/>
                <w:sz w:val="22"/>
                <w:szCs w:val="22"/>
                <w:lang w:val="es-CO"/>
              </w:rPr>
              <w:t>Horas trabajo independiente semanales</w:t>
            </w:r>
          </w:p>
        </w:tc>
        <w:tc>
          <w:tcPr>
            <w:tcW w:w="5866" w:type="dxa"/>
            <w:shd w:val="clear" w:color="auto" w:fill="auto"/>
          </w:tcPr>
          <w:p w:rsidR="00625AE0" w:rsidRPr="00625AE0" w:rsidRDefault="00625AE0" w:rsidP="00184B3C">
            <w:pPr>
              <w:rPr>
                <w:rFonts w:asciiTheme="minorHAnsi" w:hAnsiTheme="minorHAnsi" w:cstheme="minorHAnsi"/>
                <w:sz w:val="22"/>
                <w:szCs w:val="22"/>
                <w:lang w:val="es-CO"/>
              </w:rPr>
            </w:pPr>
            <w:r w:rsidRPr="00625AE0">
              <w:rPr>
                <w:rFonts w:asciiTheme="minorHAnsi" w:hAnsiTheme="minorHAnsi" w:cstheme="minorHAnsi"/>
                <w:sz w:val="22"/>
                <w:szCs w:val="22"/>
                <w:lang w:val="es-CO"/>
              </w:rPr>
              <w:t>5</w:t>
            </w:r>
          </w:p>
        </w:tc>
      </w:tr>
      <w:tr w:rsidR="00625AE0" w:rsidRPr="00625AE0" w:rsidTr="00184B3C">
        <w:tc>
          <w:tcPr>
            <w:tcW w:w="3204" w:type="dxa"/>
            <w:shd w:val="clear" w:color="auto" w:fill="auto"/>
          </w:tcPr>
          <w:p w:rsidR="00625AE0" w:rsidRPr="00625AE0" w:rsidRDefault="00625AE0" w:rsidP="00184B3C">
            <w:pPr>
              <w:rPr>
                <w:rFonts w:asciiTheme="minorHAnsi" w:hAnsiTheme="minorHAnsi" w:cstheme="minorHAnsi"/>
                <w:b/>
                <w:sz w:val="22"/>
                <w:szCs w:val="22"/>
                <w:lang w:val="es-CO"/>
              </w:rPr>
            </w:pPr>
            <w:r w:rsidRPr="00625AE0">
              <w:rPr>
                <w:rFonts w:asciiTheme="minorHAnsi" w:hAnsiTheme="minorHAnsi" w:cstheme="minorHAnsi"/>
                <w:b/>
                <w:sz w:val="22"/>
                <w:szCs w:val="22"/>
                <w:lang w:val="es-CO"/>
              </w:rPr>
              <w:t>Área curricular</w:t>
            </w:r>
          </w:p>
        </w:tc>
        <w:tc>
          <w:tcPr>
            <w:tcW w:w="5866" w:type="dxa"/>
            <w:shd w:val="clear" w:color="auto" w:fill="auto"/>
          </w:tcPr>
          <w:p w:rsidR="00625AE0" w:rsidRPr="00625AE0" w:rsidRDefault="00625AE0" w:rsidP="00184B3C">
            <w:pPr>
              <w:rPr>
                <w:rFonts w:asciiTheme="minorHAnsi" w:hAnsiTheme="minorHAnsi" w:cstheme="minorHAnsi"/>
                <w:sz w:val="22"/>
                <w:szCs w:val="22"/>
                <w:lang w:val="es-CO"/>
              </w:rPr>
            </w:pPr>
            <w:r w:rsidRPr="00625AE0">
              <w:rPr>
                <w:rFonts w:asciiTheme="minorHAnsi" w:hAnsiTheme="minorHAnsi" w:cstheme="minorHAnsi"/>
                <w:sz w:val="22"/>
                <w:szCs w:val="22"/>
                <w:lang w:val="es-CO"/>
              </w:rPr>
              <w:t xml:space="preserve">Macroeconomía </w:t>
            </w:r>
          </w:p>
        </w:tc>
      </w:tr>
      <w:tr w:rsidR="00625AE0" w:rsidRPr="00625AE0" w:rsidTr="00184B3C">
        <w:tc>
          <w:tcPr>
            <w:tcW w:w="3204" w:type="dxa"/>
            <w:shd w:val="clear" w:color="auto" w:fill="auto"/>
          </w:tcPr>
          <w:p w:rsidR="00625AE0" w:rsidRPr="00625AE0" w:rsidRDefault="00625AE0" w:rsidP="00184B3C">
            <w:pPr>
              <w:rPr>
                <w:rFonts w:asciiTheme="minorHAnsi" w:hAnsiTheme="minorHAnsi" w:cstheme="minorHAnsi"/>
                <w:b/>
                <w:sz w:val="22"/>
                <w:szCs w:val="22"/>
                <w:lang w:val="es-CO"/>
              </w:rPr>
            </w:pPr>
            <w:r w:rsidRPr="00625AE0">
              <w:rPr>
                <w:rFonts w:asciiTheme="minorHAnsi" w:hAnsiTheme="minorHAnsi" w:cstheme="minorHAnsi"/>
                <w:b/>
                <w:sz w:val="22"/>
                <w:szCs w:val="22"/>
                <w:lang w:val="es-CO"/>
              </w:rPr>
              <w:t>Semestre</w:t>
            </w:r>
          </w:p>
        </w:tc>
        <w:tc>
          <w:tcPr>
            <w:tcW w:w="5866" w:type="dxa"/>
            <w:shd w:val="clear" w:color="auto" w:fill="auto"/>
          </w:tcPr>
          <w:p w:rsidR="00625AE0" w:rsidRPr="00625AE0" w:rsidRDefault="00625AE0" w:rsidP="00184B3C">
            <w:pPr>
              <w:rPr>
                <w:rFonts w:asciiTheme="minorHAnsi" w:hAnsiTheme="minorHAnsi" w:cstheme="minorHAnsi"/>
                <w:sz w:val="22"/>
                <w:szCs w:val="22"/>
                <w:lang w:val="es-CO"/>
              </w:rPr>
            </w:pPr>
            <w:r w:rsidRPr="00625AE0">
              <w:rPr>
                <w:rFonts w:asciiTheme="minorHAnsi" w:hAnsiTheme="minorHAnsi" w:cstheme="minorHAnsi"/>
                <w:sz w:val="22"/>
                <w:szCs w:val="22"/>
                <w:lang w:val="es-CO"/>
              </w:rPr>
              <w:t>VII</w:t>
            </w:r>
          </w:p>
        </w:tc>
      </w:tr>
      <w:tr w:rsidR="00625AE0" w:rsidRPr="00625AE0" w:rsidTr="00184B3C">
        <w:tc>
          <w:tcPr>
            <w:tcW w:w="3204" w:type="dxa"/>
            <w:shd w:val="clear" w:color="auto" w:fill="auto"/>
          </w:tcPr>
          <w:p w:rsidR="00625AE0" w:rsidRPr="00625AE0" w:rsidRDefault="00625AE0" w:rsidP="00184B3C">
            <w:pPr>
              <w:rPr>
                <w:rFonts w:asciiTheme="minorHAnsi" w:hAnsiTheme="minorHAnsi" w:cstheme="minorHAnsi"/>
                <w:b/>
                <w:sz w:val="22"/>
                <w:szCs w:val="22"/>
                <w:lang w:val="es-CO"/>
              </w:rPr>
            </w:pPr>
            <w:r w:rsidRPr="00625AE0">
              <w:rPr>
                <w:rFonts w:asciiTheme="minorHAnsi" w:hAnsiTheme="minorHAnsi" w:cstheme="minorHAnsi"/>
                <w:b/>
                <w:sz w:val="22"/>
                <w:szCs w:val="22"/>
                <w:lang w:val="es-CO"/>
              </w:rPr>
              <w:t>Validable</w:t>
            </w:r>
          </w:p>
        </w:tc>
        <w:tc>
          <w:tcPr>
            <w:tcW w:w="5866" w:type="dxa"/>
            <w:shd w:val="clear" w:color="auto" w:fill="auto"/>
          </w:tcPr>
          <w:p w:rsidR="00625AE0" w:rsidRPr="00625AE0" w:rsidRDefault="00625AE0" w:rsidP="00184B3C">
            <w:pPr>
              <w:rPr>
                <w:rFonts w:asciiTheme="minorHAnsi" w:hAnsiTheme="minorHAnsi" w:cstheme="minorHAnsi"/>
                <w:sz w:val="22"/>
                <w:szCs w:val="22"/>
                <w:lang w:val="es-CO"/>
              </w:rPr>
            </w:pPr>
            <w:r w:rsidRPr="00625AE0">
              <w:rPr>
                <w:rFonts w:asciiTheme="minorHAnsi" w:hAnsiTheme="minorHAnsi" w:cstheme="minorHAnsi"/>
                <w:sz w:val="22"/>
                <w:szCs w:val="22"/>
                <w:lang w:val="es-CO"/>
              </w:rPr>
              <w:t>Si</w:t>
            </w:r>
          </w:p>
        </w:tc>
      </w:tr>
      <w:tr w:rsidR="00625AE0" w:rsidRPr="00625AE0" w:rsidTr="00184B3C">
        <w:tc>
          <w:tcPr>
            <w:tcW w:w="3204" w:type="dxa"/>
            <w:shd w:val="clear" w:color="auto" w:fill="auto"/>
          </w:tcPr>
          <w:p w:rsidR="00625AE0" w:rsidRPr="00625AE0" w:rsidRDefault="00625AE0" w:rsidP="00184B3C">
            <w:pPr>
              <w:rPr>
                <w:rFonts w:asciiTheme="minorHAnsi" w:hAnsiTheme="minorHAnsi" w:cstheme="minorHAnsi"/>
                <w:b/>
                <w:sz w:val="22"/>
                <w:szCs w:val="22"/>
                <w:lang w:val="es-CO"/>
              </w:rPr>
            </w:pPr>
            <w:r w:rsidRPr="00625AE0">
              <w:rPr>
                <w:rFonts w:asciiTheme="minorHAnsi" w:hAnsiTheme="minorHAnsi" w:cstheme="minorHAnsi"/>
                <w:b/>
                <w:sz w:val="22"/>
                <w:szCs w:val="22"/>
                <w:lang w:val="es-CO"/>
              </w:rPr>
              <w:t>Habilitable</w:t>
            </w:r>
          </w:p>
        </w:tc>
        <w:tc>
          <w:tcPr>
            <w:tcW w:w="5866" w:type="dxa"/>
            <w:shd w:val="clear" w:color="auto" w:fill="auto"/>
          </w:tcPr>
          <w:p w:rsidR="00625AE0" w:rsidRPr="00625AE0" w:rsidRDefault="00625AE0" w:rsidP="00184B3C">
            <w:pPr>
              <w:rPr>
                <w:rFonts w:asciiTheme="minorHAnsi" w:hAnsiTheme="minorHAnsi" w:cstheme="minorHAnsi"/>
                <w:sz w:val="22"/>
                <w:szCs w:val="22"/>
                <w:lang w:val="es-CO"/>
              </w:rPr>
            </w:pPr>
            <w:r w:rsidRPr="00625AE0">
              <w:rPr>
                <w:rFonts w:asciiTheme="minorHAnsi" w:hAnsiTheme="minorHAnsi" w:cstheme="minorHAnsi"/>
                <w:sz w:val="22"/>
                <w:szCs w:val="22"/>
                <w:lang w:val="es-CO"/>
              </w:rPr>
              <w:t>Si</w:t>
            </w:r>
          </w:p>
        </w:tc>
      </w:tr>
      <w:tr w:rsidR="00625AE0" w:rsidRPr="00625AE0" w:rsidTr="00184B3C">
        <w:tc>
          <w:tcPr>
            <w:tcW w:w="3204" w:type="dxa"/>
            <w:shd w:val="clear" w:color="auto" w:fill="auto"/>
          </w:tcPr>
          <w:p w:rsidR="00625AE0" w:rsidRPr="00625AE0" w:rsidRDefault="00625AE0" w:rsidP="00184B3C">
            <w:pPr>
              <w:rPr>
                <w:rFonts w:asciiTheme="minorHAnsi" w:hAnsiTheme="minorHAnsi" w:cstheme="minorHAnsi"/>
                <w:b/>
                <w:sz w:val="22"/>
                <w:szCs w:val="22"/>
                <w:lang w:val="es-CO"/>
              </w:rPr>
            </w:pPr>
            <w:r w:rsidRPr="00625AE0">
              <w:rPr>
                <w:rFonts w:asciiTheme="minorHAnsi" w:hAnsiTheme="minorHAnsi" w:cstheme="minorHAnsi"/>
                <w:b/>
                <w:sz w:val="22"/>
                <w:szCs w:val="22"/>
                <w:lang w:val="es-CO"/>
              </w:rPr>
              <w:t>Prerrequisitos</w:t>
            </w:r>
          </w:p>
        </w:tc>
        <w:tc>
          <w:tcPr>
            <w:tcW w:w="5866" w:type="dxa"/>
            <w:shd w:val="clear" w:color="auto" w:fill="auto"/>
          </w:tcPr>
          <w:p w:rsidR="00625AE0" w:rsidRPr="00625AE0" w:rsidRDefault="00625AE0" w:rsidP="00184B3C">
            <w:pPr>
              <w:rPr>
                <w:rFonts w:asciiTheme="minorHAnsi" w:hAnsiTheme="minorHAnsi" w:cstheme="minorHAnsi"/>
                <w:sz w:val="22"/>
                <w:szCs w:val="22"/>
                <w:lang w:val="es-CO"/>
              </w:rPr>
            </w:pPr>
            <w:r w:rsidRPr="00625AE0">
              <w:rPr>
                <w:rFonts w:asciiTheme="minorHAnsi" w:hAnsiTheme="minorHAnsi" w:cstheme="minorHAnsi"/>
                <w:sz w:val="22"/>
                <w:szCs w:val="22"/>
                <w:lang w:val="es-CO"/>
              </w:rPr>
              <w:t>Macroeconomía II</w:t>
            </w:r>
          </w:p>
        </w:tc>
      </w:tr>
      <w:tr w:rsidR="00625AE0" w:rsidRPr="00625AE0" w:rsidTr="00184B3C">
        <w:tc>
          <w:tcPr>
            <w:tcW w:w="3204" w:type="dxa"/>
            <w:shd w:val="clear" w:color="auto" w:fill="auto"/>
          </w:tcPr>
          <w:p w:rsidR="00625AE0" w:rsidRPr="00625AE0" w:rsidRDefault="00625AE0" w:rsidP="00184B3C">
            <w:pPr>
              <w:rPr>
                <w:rFonts w:asciiTheme="minorHAnsi" w:hAnsiTheme="minorHAnsi" w:cstheme="minorHAnsi"/>
                <w:b/>
                <w:sz w:val="22"/>
                <w:szCs w:val="22"/>
                <w:lang w:val="es-CO"/>
              </w:rPr>
            </w:pPr>
            <w:r w:rsidRPr="00625AE0">
              <w:rPr>
                <w:rFonts w:asciiTheme="minorHAnsi" w:hAnsiTheme="minorHAnsi" w:cstheme="minorHAnsi"/>
                <w:b/>
                <w:sz w:val="22"/>
                <w:szCs w:val="22"/>
                <w:lang w:val="es-CO"/>
              </w:rPr>
              <w:t>Correquisitos</w:t>
            </w:r>
          </w:p>
        </w:tc>
        <w:tc>
          <w:tcPr>
            <w:tcW w:w="5866" w:type="dxa"/>
            <w:shd w:val="clear" w:color="auto" w:fill="auto"/>
          </w:tcPr>
          <w:p w:rsidR="00625AE0" w:rsidRPr="00625AE0" w:rsidRDefault="00625AE0" w:rsidP="00184B3C">
            <w:pPr>
              <w:rPr>
                <w:rFonts w:asciiTheme="minorHAnsi" w:hAnsiTheme="minorHAnsi" w:cstheme="minorHAnsi"/>
                <w:sz w:val="22"/>
                <w:szCs w:val="22"/>
                <w:lang w:val="es-CO"/>
              </w:rPr>
            </w:pPr>
            <w:r w:rsidRPr="00625AE0">
              <w:rPr>
                <w:rFonts w:asciiTheme="minorHAnsi" w:hAnsiTheme="minorHAnsi" w:cstheme="minorHAnsi"/>
                <w:sz w:val="22"/>
                <w:szCs w:val="22"/>
                <w:lang w:val="es-CO"/>
              </w:rPr>
              <w:t>Ninguno</w:t>
            </w:r>
          </w:p>
        </w:tc>
      </w:tr>
      <w:tr w:rsidR="00625AE0" w:rsidRPr="00625AE0" w:rsidTr="00184B3C">
        <w:tc>
          <w:tcPr>
            <w:tcW w:w="3204" w:type="dxa"/>
            <w:shd w:val="clear" w:color="auto" w:fill="auto"/>
          </w:tcPr>
          <w:p w:rsidR="00625AE0" w:rsidRPr="00625AE0" w:rsidRDefault="00625AE0" w:rsidP="00184B3C">
            <w:pPr>
              <w:rPr>
                <w:rFonts w:asciiTheme="minorHAnsi" w:hAnsiTheme="minorHAnsi" w:cstheme="minorHAnsi"/>
                <w:b/>
                <w:sz w:val="22"/>
                <w:szCs w:val="22"/>
                <w:lang w:val="es-CO"/>
              </w:rPr>
            </w:pPr>
            <w:r w:rsidRPr="00625AE0">
              <w:rPr>
                <w:rFonts w:asciiTheme="minorHAnsi" w:hAnsiTheme="minorHAnsi" w:cstheme="minorHAnsi"/>
                <w:b/>
                <w:sz w:val="22"/>
                <w:szCs w:val="22"/>
                <w:lang w:val="es-CO"/>
              </w:rPr>
              <w:t>Programa a los cuales se ofrece la materia</w:t>
            </w:r>
          </w:p>
        </w:tc>
        <w:tc>
          <w:tcPr>
            <w:tcW w:w="5866" w:type="dxa"/>
            <w:shd w:val="clear" w:color="auto" w:fill="auto"/>
          </w:tcPr>
          <w:p w:rsidR="00625AE0" w:rsidRPr="00625AE0" w:rsidRDefault="00625AE0" w:rsidP="00184B3C">
            <w:pPr>
              <w:rPr>
                <w:rFonts w:asciiTheme="minorHAnsi" w:hAnsiTheme="minorHAnsi" w:cstheme="minorHAnsi"/>
                <w:sz w:val="22"/>
                <w:szCs w:val="22"/>
                <w:lang w:val="es-CO"/>
              </w:rPr>
            </w:pPr>
            <w:r w:rsidRPr="00625AE0">
              <w:rPr>
                <w:rFonts w:asciiTheme="minorHAnsi" w:hAnsiTheme="minorHAnsi" w:cstheme="minorHAnsi"/>
                <w:sz w:val="22"/>
                <w:szCs w:val="22"/>
                <w:lang w:val="es-CO"/>
              </w:rPr>
              <w:t xml:space="preserve">Economía </w:t>
            </w:r>
          </w:p>
        </w:tc>
      </w:tr>
    </w:tbl>
    <w:p w:rsidR="00A27B08" w:rsidRPr="00625AE0" w:rsidRDefault="00A27B08" w:rsidP="00A27B08">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INFORMACION COMPLEMENTARIA</w:t>
      </w:r>
    </w:p>
    <w:p w:rsidR="000E0199" w:rsidRPr="000E0199" w:rsidRDefault="000E0199" w:rsidP="000E0199">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0E0199" w:rsidRPr="000E0199" w:rsidTr="00EE00F9">
        <w:trPr>
          <w:trHeight w:val="1012"/>
        </w:trPr>
        <w:tc>
          <w:tcPr>
            <w:tcW w:w="3191" w:type="dxa"/>
            <w:shd w:val="clear" w:color="auto" w:fill="auto"/>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Objetivo general</w:t>
            </w: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tc>
        <w:tc>
          <w:tcPr>
            <w:tcW w:w="5877" w:type="dxa"/>
            <w:shd w:val="clear" w:color="auto" w:fill="auto"/>
          </w:tcPr>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Dos son los principales objetivos de esta asignatura. De un lado, examinar la eficacia de la política macroeconómica, así como los problemas de inconsistencia temporal de dicha política y sus posibles soluciones. Y, de otro lado, describir y analizar tanto los impactos macroeconómicos de la política fiscal, como sus efectos sobre la asignación de los recursos y la distribución del ingreso. La asignatura se inicia con una breve discusión sobre la evolución del tamaño del Estado y sus principales funciones. </w:t>
            </w:r>
          </w:p>
          <w:p w:rsidR="000E0199" w:rsidRPr="000E0199" w:rsidRDefault="000E0199" w:rsidP="000E0199">
            <w:pPr>
              <w:jc w:val="both"/>
              <w:rPr>
                <w:rFonts w:asciiTheme="minorHAnsi" w:hAnsiTheme="minorHAnsi" w:cstheme="minorHAnsi"/>
                <w:b/>
                <w:sz w:val="22"/>
                <w:szCs w:val="22"/>
                <w:lang w:val="es-CO"/>
              </w:rPr>
            </w:pPr>
          </w:p>
        </w:tc>
      </w:tr>
      <w:tr w:rsidR="000E0199" w:rsidRPr="000E0199" w:rsidTr="00EE00F9">
        <w:tc>
          <w:tcPr>
            <w:tcW w:w="3191" w:type="dxa"/>
            <w:shd w:val="clear" w:color="auto" w:fill="auto"/>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Justificación</w:t>
            </w: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tc>
        <w:tc>
          <w:tcPr>
            <w:tcW w:w="5877" w:type="dxa"/>
            <w:shd w:val="clear" w:color="auto" w:fill="auto"/>
          </w:tcPr>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lastRenderedPageBreak/>
              <w:t xml:space="preserve">La política económica puede definirse como toda actuación del gobierno tendiente a incidir en la trayectoria temporal de alguna variable económica. En este sentido, el problema esencial que enfrenta se asocia con lograr una combinación factible de objetivos e instrumentos, sujeta a las restricciones que presenta la estructura de la economía. En consecuencia, los fundamentos metodológicos de la política económica </w:t>
            </w:r>
            <w:r w:rsidRPr="000E0199">
              <w:rPr>
                <w:rFonts w:asciiTheme="minorHAnsi" w:hAnsiTheme="minorHAnsi" w:cstheme="minorHAnsi"/>
                <w:sz w:val="22"/>
                <w:szCs w:val="22"/>
                <w:lang w:val="es-CO"/>
              </w:rPr>
              <w:lastRenderedPageBreak/>
              <w:t xml:space="preserve">exploran la analogía entre la maximización de la utilidad, sujeta a restricciones, de un agente económico individual y la del gobierno como el órgano responsable de la satisfacción de los objetivos deseados por la comunidad. </w:t>
            </w:r>
          </w:p>
          <w:p w:rsidR="000E0199" w:rsidRPr="000E0199" w:rsidRDefault="000E0199" w:rsidP="000E0199">
            <w:pPr>
              <w:jc w:val="both"/>
              <w:rPr>
                <w:rFonts w:asciiTheme="minorHAnsi" w:hAnsiTheme="minorHAnsi" w:cstheme="minorHAnsi"/>
                <w:sz w:val="22"/>
                <w:szCs w:val="22"/>
                <w:lang w:val="es-CO"/>
              </w:rPr>
            </w:pP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No obstante, el optimismo inicial en cuanto a las posibilidades de los gobiernos de influir efectivamente en las variables económicas ha dado paso a una mayor prudencia o escepticismo en torno a estas posibilidades. Además, el gobierno no es visto ya como un ente benévolo que persigue objetivos relacionados con el bienestar de sus ciudadanos. Gobernantes, políticos y funcionarios suelen perseguir objetivos privados que pueden estar o no relacionados con el bienestar social del país. En estas condiciones, es pertinente la pregunta ¿qué puede conseguirse a través de la política económica?</w:t>
            </w:r>
          </w:p>
          <w:p w:rsidR="000E0199" w:rsidRPr="000E0199" w:rsidRDefault="000E0199" w:rsidP="000E0199">
            <w:pPr>
              <w:jc w:val="both"/>
              <w:rPr>
                <w:rFonts w:asciiTheme="minorHAnsi" w:hAnsiTheme="minorHAnsi" w:cstheme="minorHAnsi"/>
                <w:sz w:val="22"/>
                <w:szCs w:val="22"/>
                <w:lang w:val="es-CO"/>
              </w:rPr>
            </w:pP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Existe un consenso entre los economistas en torno a que el crecimiento económico sostenido solamente es posible en un marco macroeconómico adecuado. Muchos países del mundo y de América Latina han padecido y varios todavía padecen las consecuencias de una aguda inestabilidad macroeconómica. En este marco, las políticas monetaria y fiscal juegan un papel clave. ¿Qué relación existe entre dicha inestabilidad y la viabilidad de la política fiscal? Esta relación ¿fluye solamente del ámbito macroeconómico al fiscal o puede operar en ambos sentidos? ¿Cómo debe utilizarse la política monetaria? ¿Debe gestionarse la política monetaria siguiendo unas reglas fijas o dejarse a la discrecionalidad del banco central?</w:t>
            </w:r>
          </w:p>
          <w:p w:rsidR="000E0199" w:rsidRPr="000E0199" w:rsidRDefault="000E0199" w:rsidP="000E0199">
            <w:pPr>
              <w:jc w:val="both"/>
              <w:rPr>
                <w:rFonts w:asciiTheme="minorHAnsi" w:hAnsiTheme="minorHAnsi" w:cstheme="minorHAnsi"/>
                <w:sz w:val="22"/>
                <w:szCs w:val="22"/>
                <w:lang w:val="es-CO"/>
              </w:rPr>
            </w:pP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El crecimiento económico sostenido depende crucialmente también de factores microeconómicos. Por ejemplo, mientras más eficientes sean los impuestos y el gasto público mayor será el producto potencial de la economía y mejores las posibilidades de enfrentar los problemas de pobreza y de distribución del ingreso que caracterizan a las economías en desarrollo. </w:t>
            </w:r>
          </w:p>
          <w:p w:rsidR="000E0199" w:rsidRPr="000E0199" w:rsidRDefault="000E0199" w:rsidP="000E0199">
            <w:pPr>
              <w:jc w:val="both"/>
              <w:rPr>
                <w:rFonts w:asciiTheme="minorHAnsi" w:hAnsiTheme="minorHAnsi" w:cstheme="minorHAnsi"/>
                <w:sz w:val="22"/>
                <w:szCs w:val="22"/>
                <w:lang w:val="es-CO"/>
              </w:rPr>
            </w:pP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El programa está estructurado en dos grandes partes. La primera parte se centra en dos aspectos principales de toda política macroeconómica: su gestión a corto plazo y sus consecuencias en el largo plazo. Actualmente, la mayoría de los países recurre a la política monetaria más que a la fiscal para lograr la estabilización de la economía en el corto plazo. Sin embargo, la política monetaria ha sido generalmente responsable de altas tasas de inflación durante largos períodos de tiempo, mientras que la política fiscal genera frecuentemente déficits presupuestario persistentes y elevados. </w:t>
            </w:r>
          </w:p>
          <w:p w:rsidR="000E0199" w:rsidRPr="000E0199" w:rsidRDefault="000E0199" w:rsidP="000E0199">
            <w:pPr>
              <w:jc w:val="both"/>
              <w:rPr>
                <w:rFonts w:asciiTheme="minorHAnsi" w:hAnsiTheme="minorHAnsi" w:cstheme="minorHAnsi"/>
                <w:sz w:val="22"/>
                <w:szCs w:val="22"/>
                <w:lang w:val="es-CO"/>
              </w:rPr>
            </w:pP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En la segunda parte se analizan las distorsiones que los impuestos ejercen sobre los distintos mercados y sus efectos sobre el bienestar. Por tanto, se examinarán los efectos </w:t>
            </w:r>
            <w:r w:rsidRPr="000E0199">
              <w:rPr>
                <w:rFonts w:asciiTheme="minorHAnsi" w:hAnsiTheme="minorHAnsi" w:cstheme="minorHAnsi"/>
                <w:sz w:val="22"/>
                <w:szCs w:val="22"/>
                <w:lang w:val="es-CO"/>
              </w:rPr>
              <w:lastRenderedPageBreak/>
              <w:t>económicos de los diferentes impuestos, determinando sus impactos sobre variables tales como ahorro, inversión, crecimiento, empleo, producción y precios. Asimismo, se estudiará el diseño de sistemas tributarios óptimos y se describirán las características del sistema tributario colombiano. En síntesis, no se trata exclusivamente de un curso de macroeconomía.</w:t>
            </w:r>
          </w:p>
          <w:p w:rsidR="000E0199" w:rsidRPr="000E0199" w:rsidRDefault="000E0199" w:rsidP="000E0199">
            <w:pPr>
              <w:jc w:val="both"/>
              <w:rPr>
                <w:rFonts w:asciiTheme="minorHAnsi" w:hAnsiTheme="minorHAnsi" w:cstheme="minorHAnsi"/>
                <w:b/>
                <w:sz w:val="22"/>
                <w:szCs w:val="22"/>
                <w:lang w:val="es-CO"/>
              </w:rPr>
            </w:pPr>
          </w:p>
        </w:tc>
      </w:tr>
      <w:tr w:rsidR="000E0199" w:rsidRPr="000E0199" w:rsidTr="00EE00F9">
        <w:trPr>
          <w:trHeight w:val="840"/>
        </w:trPr>
        <w:tc>
          <w:tcPr>
            <w:tcW w:w="3191" w:type="dxa"/>
            <w:shd w:val="clear" w:color="auto" w:fill="auto"/>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lastRenderedPageBreak/>
              <w:t>Contenido resumido</w:t>
            </w: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tc>
        <w:tc>
          <w:tcPr>
            <w:tcW w:w="5877" w:type="dxa"/>
            <w:shd w:val="clear" w:color="auto" w:fill="auto"/>
          </w:tcPr>
          <w:p w:rsidR="000E0199" w:rsidRPr="000E0199" w:rsidRDefault="000E0199" w:rsidP="000E0199">
            <w:pPr>
              <w:numPr>
                <w:ilvl w:val="0"/>
                <w:numId w:val="9"/>
              </w:numPr>
              <w:jc w:val="both"/>
              <w:rPr>
                <w:rFonts w:asciiTheme="minorHAnsi" w:hAnsiTheme="minorHAnsi" w:cstheme="minorHAnsi"/>
                <w:sz w:val="22"/>
                <w:szCs w:val="22"/>
              </w:rPr>
            </w:pPr>
            <w:r w:rsidRPr="000E0199">
              <w:rPr>
                <w:rFonts w:asciiTheme="minorHAnsi" w:hAnsiTheme="minorHAnsi" w:cstheme="minorHAnsi"/>
                <w:sz w:val="22"/>
                <w:szCs w:val="22"/>
                <w:lang w:val="es-CO"/>
              </w:rPr>
              <w:t>Los Problemas De La Política Macroeconómica</w:t>
            </w:r>
          </w:p>
          <w:p w:rsidR="000E0199" w:rsidRPr="000E0199" w:rsidRDefault="000E0199" w:rsidP="000E0199">
            <w:pPr>
              <w:numPr>
                <w:ilvl w:val="0"/>
                <w:numId w:val="9"/>
              </w:numPr>
              <w:jc w:val="both"/>
              <w:rPr>
                <w:rFonts w:asciiTheme="minorHAnsi" w:hAnsiTheme="minorHAnsi" w:cstheme="minorHAnsi"/>
                <w:b/>
                <w:sz w:val="22"/>
                <w:szCs w:val="22"/>
              </w:rPr>
            </w:pPr>
            <w:r w:rsidRPr="000E0199">
              <w:rPr>
                <w:rFonts w:asciiTheme="minorHAnsi" w:hAnsiTheme="minorHAnsi" w:cstheme="minorHAnsi"/>
                <w:sz w:val="22"/>
                <w:szCs w:val="22"/>
                <w:lang w:val="es-CO"/>
              </w:rPr>
              <w:t>Finanzas Públicas (teoría de la tributación)</w:t>
            </w:r>
          </w:p>
        </w:tc>
      </w:tr>
    </w:tbl>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UNIDADES</w:t>
      </w: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Unidad 1</w:t>
      </w:r>
    </w:p>
    <w:p w:rsidR="000E0199" w:rsidRPr="000E0199" w:rsidRDefault="000E0199" w:rsidP="000E0199">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0E0199" w:rsidRPr="000E0199" w:rsidTr="00EE00F9">
        <w:tc>
          <w:tcPr>
            <w:tcW w:w="3150" w:type="dxa"/>
            <w:shd w:val="clear" w:color="auto" w:fill="auto"/>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 xml:space="preserve">Tema a desarrollar </w:t>
            </w:r>
          </w:p>
        </w:tc>
        <w:tc>
          <w:tcPr>
            <w:tcW w:w="5918" w:type="dxa"/>
            <w:shd w:val="clear" w:color="auto" w:fill="auto"/>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1. Los Problemas de la Política Macroeconómica</w:t>
            </w:r>
          </w:p>
        </w:tc>
      </w:tr>
      <w:tr w:rsidR="000E0199" w:rsidRPr="000E0199" w:rsidTr="00EE00F9">
        <w:tc>
          <w:tcPr>
            <w:tcW w:w="3150" w:type="dxa"/>
            <w:shd w:val="clear" w:color="auto" w:fill="auto"/>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Subtemas</w:t>
            </w:r>
          </w:p>
        </w:tc>
        <w:tc>
          <w:tcPr>
            <w:tcW w:w="5918" w:type="dxa"/>
            <w:shd w:val="clear" w:color="auto" w:fill="auto"/>
          </w:tcPr>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1.1 El papel del Estado en la economía</w:t>
            </w:r>
          </w:p>
          <w:p w:rsidR="000E0199" w:rsidRPr="000E0199" w:rsidRDefault="000E0199" w:rsidP="000E0199">
            <w:pPr>
              <w:numPr>
                <w:ilvl w:val="0"/>
                <w:numId w:val="1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El surgimiento del Estado como una mejora paretiana. </w:t>
            </w:r>
          </w:p>
          <w:p w:rsidR="000E0199" w:rsidRPr="000E0199" w:rsidRDefault="000E0199" w:rsidP="000E0199">
            <w:pPr>
              <w:numPr>
                <w:ilvl w:val="0"/>
                <w:numId w:val="1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Importancia del Estado en la economía: principales indicadores.</w:t>
            </w:r>
          </w:p>
          <w:p w:rsidR="000E0199" w:rsidRPr="000E0199" w:rsidRDefault="000E0199" w:rsidP="000E0199">
            <w:pPr>
              <w:numPr>
                <w:ilvl w:val="0"/>
                <w:numId w:val="23"/>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Breve evolución histórica.</w:t>
            </w:r>
          </w:p>
          <w:p w:rsidR="000E0199" w:rsidRPr="000E0199" w:rsidRDefault="000E0199" w:rsidP="000E0199">
            <w:pPr>
              <w:numPr>
                <w:ilvl w:val="0"/>
                <w:numId w:val="23"/>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Algunas hipótesis sobre sus determinantes: factores de oferta y demanda.</w:t>
            </w:r>
          </w:p>
          <w:p w:rsidR="000E0199" w:rsidRPr="000E0199" w:rsidRDefault="000E0199" w:rsidP="000E0199">
            <w:pPr>
              <w:numPr>
                <w:ilvl w:val="0"/>
                <w:numId w:val="1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Las obligaciones o funciones del Estado en la economía: ¿existe un consenso? Los datos colombianos. </w:t>
            </w:r>
          </w:p>
          <w:p w:rsidR="000E0199" w:rsidRPr="000E0199" w:rsidRDefault="000E0199" w:rsidP="000E0199">
            <w:pPr>
              <w:jc w:val="both"/>
              <w:rPr>
                <w:rFonts w:asciiTheme="minorHAnsi" w:hAnsiTheme="minorHAnsi" w:cstheme="minorHAnsi"/>
                <w:sz w:val="22"/>
                <w:szCs w:val="22"/>
                <w:lang w:val="es-CO"/>
              </w:rPr>
            </w:pP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1.2 Las teorías de la política económica</w:t>
            </w:r>
          </w:p>
          <w:p w:rsidR="000E0199" w:rsidRPr="000E0199" w:rsidRDefault="000E0199" w:rsidP="000E0199">
            <w:pPr>
              <w:numPr>
                <w:ilvl w:val="0"/>
                <w:numId w:val="19"/>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La concepción tradicional: la política discrecional.</w:t>
            </w:r>
          </w:p>
          <w:p w:rsidR="000E0199" w:rsidRPr="000E0199" w:rsidRDefault="000E0199" w:rsidP="000E0199">
            <w:pPr>
              <w:numPr>
                <w:ilvl w:val="0"/>
                <w:numId w:val="19"/>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Reglas versus discreción: ventajas e inconvenientes.</w:t>
            </w:r>
          </w:p>
          <w:p w:rsidR="000E0199" w:rsidRPr="000E0199" w:rsidRDefault="000E0199" w:rsidP="000E0199">
            <w:pPr>
              <w:numPr>
                <w:ilvl w:val="0"/>
                <w:numId w:val="19"/>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Reglas monetarias y fiscales: evidencia empírica. </w:t>
            </w: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       </w:t>
            </w:r>
          </w:p>
          <w:p w:rsidR="000E0199" w:rsidRPr="000E0199" w:rsidRDefault="000E0199" w:rsidP="000E0199">
            <w:pPr>
              <w:numPr>
                <w:ilvl w:val="1"/>
                <w:numId w:val="2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La eficacia de las políticas de estabilización </w:t>
            </w:r>
          </w:p>
          <w:p w:rsidR="000E0199" w:rsidRPr="000E0199" w:rsidRDefault="000E0199" w:rsidP="000E0199">
            <w:pPr>
              <w:numPr>
                <w:ilvl w:val="0"/>
                <w:numId w:val="11"/>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La política monetaria en presencia de información imperfecta y rigideces nominales. </w:t>
            </w:r>
          </w:p>
          <w:p w:rsidR="000E0199" w:rsidRPr="000E0199" w:rsidRDefault="000E0199" w:rsidP="000E0199">
            <w:pPr>
              <w:numPr>
                <w:ilvl w:val="0"/>
                <w:numId w:val="11"/>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La eficacia de la política monetaria en una economía abierta. </w:t>
            </w:r>
          </w:p>
          <w:p w:rsidR="000E0199" w:rsidRPr="000E0199" w:rsidRDefault="000E0199" w:rsidP="000E0199">
            <w:pPr>
              <w:numPr>
                <w:ilvl w:val="0"/>
                <w:numId w:val="11"/>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La política fiscal y el déficit presupuestario.</w:t>
            </w:r>
          </w:p>
          <w:p w:rsidR="000E0199" w:rsidRPr="000E0199" w:rsidRDefault="000E0199" w:rsidP="000E0199">
            <w:pPr>
              <w:numPr>
                <w:ilvl w:val="0"/>
                <w:numId w:val="12"/>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La financiación del déficit público.</w:t>
            </w:r>
          </w:p>
          <w:p w:rsidR="000E0199" w:rsidRPr="000E0199" w:rsidRDefault="000E0199" w:rsidP="000E0199">
            <w:pPr>
              <w:numPr>
                <w:ilvl w:val="0"/>
                <w:numId w:val="13"/>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Restricción presupuestaria intertemporal. </w:t>
            </w:r>
          </w:p>
          <w:p w:rsidR="000E0199" w:rsidRPr="000E0199" w:rsidRDefault="000E0199" w:rsidP="000E0199">
            <w:pPr>
              <w:numPr>
                <w:ilvl w:val="0"/>
                <w:numId w:val="1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Sostenibilidad de la deuda pública.</w:t>
            </w:r>
          </w:p>
          <w:p w:rsidR="000E0199" w:rsidRPr="000E0199" w:rsidRDefault="000E0199" w:rsidP="000E0199">
            <w:pPr>
              <w:numPr>
                <w:ilvl w:val="0"/>
                <w:numId w:val="15"/>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Señoreaje e impuesto inflacionario.</w:t>
            </w:r>
          </w:p>
          <w:p w:rsidR="000E0199" w:rsidRPr="000E0199" w:rsidRDefault="000E0199" w:rsidP="000E0199">
            <w:pPr>
              <w:numPr>
                <w:ilvl w:val="0"/>
                <w:numId w:val="16"/>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Datos colombianos.</w:t>
            </w:r>
          </w:p>
          <w:p w:rsidR="000E0199" w:rsidRPr="000E0199" w:rsidRDefault="000E0199" w:rsidP="000E0199">
            <w:pPr>
              <w:numPr>
                <w:ilvl w:val="0"/>
                <w:numId w:val="12"/>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Modelos neoclásicos de la política </w:t>
            </w:r>
            <w:r w:rsidRPr="000E0199">
              <w:rPr>
                <w:rFonts w:asciiTheme="minorHAnsi" w:hAnsiTheme="minorHAnsi" w:cstheme="minorHAnsi"/>
                <w:sz w:val="22"/>
                <w:szCs w:val="22"/>
                <w:lang w:val="es-CO"/>
              </w:rPr>
              <w:lastRenderedPageBreak/>
              <w:t>fiscal.</w:t>
            </w:r>
          </w:p>
          <w:p w:rsidR="000E0199" w:rsidRPr="000E0199" w:rsidRDefault="000E0199" w:rsidP="000E0199">
            <w:pPr>
              <w:numPr>
                <w:ilvl w:val="0"/>
                <w:numId w:val="17"/>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Hipótesis de equivalencia ricardiana.</w:t>
            </w:r>
          </w:p>
          <w:p w:rsidR="000E0199" w:rsidRPr="000E0199" w:rsidRDefault="000E0199" w:rsidP="000E0199">
            <w:pPr>
              <w:numPr>
                <w:ilvl w:val="0"/>
                <w:numId w:val="18"/>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Teoría de suavización de impuestos.</w:t>
            </w:r>
          </w:p>
          <w:p w:rsidR="000E0199" w:rsidRPr="000E0199" w:rsidRDefault="000E0199" w:rsidP="000E0199">
            <w:pPr>
              <w:numPr>
                <w:ilvl w:val="0"/>
                <w:numId w:val="12"/>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Los debates recientes: </w:t>
            </w:r>
          </w:p>
          <w:p w:rsidR="000E0199" w:rsidRPr="000E0199" w:rsidRDefault="000E0199" w:rsidP="000E0199">
            <w:pPr>
              <w:numPr>
                <w:ilvl w:val="0"/>
                <w:numId w:val="17"/>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Los multiplicadores fiscales. </w:t>
            </w:r>
          </w:p>
          <w:p w:rsidR="000E0199" w:rsidRPr="000E0199" w:rsidRDefault="000E0199" w:rsidP="000E0199">
            <w:pPr>
              <w:numPr>
                <w:ilvl w:val="0"/>
                <w:numId w:val="17"/>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La posibilidad de contracciones fiscales expansivas.</w:t>
            </w:r>
          </w:p>
          <w:p w:rsidR="000E0199" w:rsidRPr="000E0199" w:rsidRDefault="000E0199" w:rsidP="000E0199">
            <w:pPr>
              <w:jc w:val="both"/>
              <w:rPr>
                <w:rFonts w:asciiTheme="minorHAnsi" w:hAnsiTheme="minorHAnsi" w:cstheme="minorHAnsi"/>
                <w:sz w:val="22"/>
                <w:szCs w:val="22"/>
                <w:lang w:val="es-CO"/>
              </w:rPr>
            </w:pP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1.4 La inconsistencia dinámica de las políticas económicas</w:t>
            </w:r>
          </w:p>
          <w:p w:rsidR="000E0199" w:rsidRPr="000E0199" w:rsidRDefault="000E0199" w:rsidP="000E0199">
            <w:pPr>
              <w:numPr>
                <w:ilvl w:val="0"/>
                <w:numId w:val="21"/>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El sesgo inflacionario de la política monetaria.</w:t>
            </w:r>
          </w:p>
          <w:p w:rsidR="000E0199" w:rsidRPr="000E0199" w:rsidRDefault="000E0199" w:rsidP="000E0199">
            <w:pPr>
              <w:numPr>
                <w:ilvl w:val="0"/>
                <w:numId w:val="21"/>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Soluciones al problema de inconsistencia dinámica: reputación en horizontes de largo plazo. </w:t>
            </w:r>
          </w:p>
          <w:p w:rsidR="000E0199" w:rsidRPr="000E0199" w:rsidRDefault="000E0199" w:rsidP="000E0199">
            <w:pPr>
              <w:numPr>
                <w:ilvl w:val="0"/>
                <w:numId w:val="21"/>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El sesgo deficitario de la política fiscal o la persistencia de un déficit elevado.</w:t>
            </w:r>
          </w:p>
          <w:p w:rsidR="000E0199" w:rsidRPr="000E0199" w:rsidRDefault="000E0199" w:rsidP="000E0199">
            <w:pPr>
              <w:numPr>
                <w:ilvl w:val="0"/>
                <w:numId w:val="22"/>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La Tragedia de los Comunes en el presupuesto público.</w:t>
            </w:r>
          </w:p>
          <w:p w:rsidR="000E0199" w:rsidRPr="000E0199" w:rsidRDefault="000E0199" w:rsidP="000E0199">
            <w:pPr>
              <w:numPr>
                <w:ilvl w:val="0"/>
                <w:numId w:val="22"/>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La acumulación estratégica de deuda.</w:t>
            </w:r>
          </w:p>
          <w:p w:rsidR="000E0199" w:rsidRPr="000E0199" w:rsidRDefault="000E0199" w:rsidP="000E0199">
            <w:pPr>
              <w:numPr>
                <w:ilvl w:val="0"/>
                <w:numId w:val="22"/>
              </w:numPr>
              <w:jc w:val="both"/>
              <w:rPr>
                <w:rFonts w:asciiTheme="minorHAnsi" w:hAnsiTheme="minorHAnsi" w:cstheme="minorHAnsi"/>
                <w:b/>
                <w:sz w:val="22"/>
                <w:szCs w:val="22"/>
                <w:lang w:val="es-CO"/>
              </w:rPr>
            </w:pPr>
            <w:r w:rsidRPr="000E0199">
              <w:rPr>
                <w:rFonts w:asciiTheme="minorHAnsi" w:hAnsiTheme="minorHAnsi" w:cstheme="minorHAnsi"/>
                <w:sz w:val="22"/>
                <w:szCs w:val="22"/>
                <w:lang w:val="es-CO"/>
              </w:rPr>
              <w:t>La estabilización retardada</w:t>
            </w:r>
            <w:r w:rsidRPr="000E0199">
              <w:rPr>
                <w:rFonts w:asciiTheme="minorHAnsi" w:hAnsiTheme="minorHAnsi" w:cstheme="minorHAnsi"/>
                <w:b/>
                <w:sz w:val="22"/>
                <w:szCs w:val="22"/>
                <w:lang w:val="es-CO"/>
              </w:rPr>
              <w:t xml:space="preserve">. </w:t>
            </w:r>
          </w:p>
          <w:p w:rsidR="000E0199" w:rsidRPr="000E0199" w:rsidRDefault="000E0199" w:rsidP="000E0199">
            <w:pPr>
              <w:jc w:val="both"/>
              <w:rPr>
                <w:rFonts w:asciiTheme="minorHAnsi" w:hAnsiTheme="minorHAnsi" w:cstheme="minorHAnsi"/>
                <w:b/>
                <w:sz w:val="22"/>
                <w:szCs w:val="22"/>
                <w:lang w:val="es-CO"/>
              </w:rPr>
            </w:pPr>
          </w:p>
        </w:tc>
      </w:tr>
      <w:tr w:rsidR="000E0199" w:rsidRPr="000E0199" w:rsidTr="00EE00F9">
        <w:tc>
          <w:tcPr>
            <w:tcW w:w="3150" w:type="dxa"/>
            <w:shd w:val="clear" w:color="auto" w:fill="auto"/>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lastRenderedPageBreak/>
              <w:t>Actividades de trabajo independiente para los estudiantes</w:t>
            </w:r>
          </w:p>
        </w:tc>
        <w:tc>
          <w:tcPr>
            <w:tcW w:w="5918" w:type="dxa"/>
            <w:shd w:val="clear" w:color="auto" w:fill="auto"/>
          </w:tcPr>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Preparar con antelación a cada clase un resumen sobre los principales contenidos que se abordarán en esta.</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En grupos de tres personas, se asignará un subtema del curso para que al inicio de cada clase se inicie con una corta exposición introductoria.</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Cuando sea pertinente, se propondrán ejercicios sobre la temática trabajada; luego, en clase, se discutirá la solución de dichos ejercicios. </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Lectura de bibliografía básica. </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Informes de lectura sobre documentos asignados. </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Talleres con ejercicios de aplicación. </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Elaboración de ensayo sobre tema asignado por el profesor, en el que el estudiante, con base en la teoría analizada en esta unidad, adquiera una postura crítica y/o tome una decisión. </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En grupos de tres personas, los estudiantes deberán escoger un tema de investigación relacionado con los contenidos del curso, sobre el que propondrán y desarrollarán un trabajo investigativo bajo la orientación del profesor.</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Asesorías con el profesor. </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Asistencia a asesoría con el monitor.</w:t>
            </w:r>
          </w:p>
          <w:p w:rsidR="000E0199" w:rsidRPr="000E0199" w:rsidRDefault="000E0199" w:rsidP="000E0199">
            <w:pPr>
              <w:jc w:val="both"/>
              <w:rPr>
                <w:rFonts w:asciiTheme="minorHAnsi" w:hAnsiTheme="minorHAnsi" w:cstheme="minorHAnsi"/>
                <w:b/>
                <w:sz w:val="22"/>
                <w:szCs w:val="22"/>
                <w:lang w:val="es-CO"/>
              </w:rPr>
            </w:pPr>
          </w:p>
        </w:tc>
      </w:tr>
    </w:tbl>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Unidad 2</w:t>
      </w:r>
    </w:p>
    <w:p w:rsidR="000E0199" w:rsidRPr="000E0199" w:rsidRDefault="000E0199" w:rsidP="000E0199">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0E0199" w:rsidRPr="000E0199" w:rsidTr="00EE00F9">
        <w:tc>
          <w:tcPr>
            <w:tcW w:w="3150" w:type="dxa"/>
            <w:shd w:val="clear" w:color="auto" w:fill="auto"/>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 xml:space="preserve">Tema a desarrollar </w:t>
            </w:r>
          </w:p>
        </w:tc>
        <w:tc>
          <w:tcPr>
            <w:tcW w:w="5918" w:type="dxa"/>
            <w:shd w:val="clear" w:color="auto" w:fill="auto"/>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2. Finanzas Públicas (teoría de la tributación)</w:t>
            </w:r>
          </w:p>
        </w:tc>
      </w:tr>
      <w:tr w:rsidR="000E0199" w:rsidRPr="000E0199" w:rsidTr="00EE00F9">
        <w:tc>
          <w:tcPr>
            <w:tcW w:w="3150" w:type="dxa"/>
            <w:shd w:val="clear" w:color="auto" w:fill="auto"/>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Subtemas</w:t>
            </w: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tc>
        <w:tc>
          <w:tcPr>
            <w:tcW w:w="5918" w:type="dxa"/>
            <w:shd w:val="clear" w:color="auto" w:fill="auto"/>
          </w:tcPr>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2.1 Ingresos públicos e impuestos</w:t>
            </w:r>
          </w:p>
          <w:p w:rsidR="000E0199" w:rsidRPr="000E0199" w:rsidRDefault="000E0199" w:rsidP="000E0199">
            <w:pPr>
              <w:numPr>
                <w:ilvl w:val="0"/>
                <w:numId w:val="46"/>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Clases de ingresos públicos.</w:t>
            </w:r>
          </w:p>
          <w:p w:rsidR="000E0199" w:rsidRPr="000E0199" w:rsidRDefault="000E0199" w:rsidP="000E0199">
            <w:pPr>
              <w:numPr>
                <w:ilvl w:val="0"/>
                <w:numId w:val="46"/>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Los impuestos: concepto y </w:t>
            </w:r>
            <w:r w:rsidRPr="000E0199">
              <w:rPr>
                <w:rFonts w:asciiTheme="minorHAnsi" w:hAnsiTheme="minorHAnsi" w:cstheme="minorHAnsi"/>
                <w:sz w:val="22"/>
                <w:szCs w:val="22"/>
                <w:lang w:val="es-CO"/>
              </w:rPr>
              <w:lastRenderedPageBreak/>
              <w:t xml:space="preserve">elementos principales de la obligación tributaria.  </w:t>
            </w:r>
          </w:p>
          <w:p w:rsidR="000E0199" w:rsidRPr="000E0199" w:rsidRDefault="000E0199" w:rsidP="000E0199">
            <w:pPr>
              <w:numPr>
                <w:ilvl w:val="0"/>
                <w:numId w:val="46"/>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El diseño de impuestos: principios generales de la imposición.</w:t>
            </w:r>
          </w:p>
          <w:p w:rsidR="000E0199" w:rsidRPr="000E0199" w:rsidRDefault="000E0199" w:rsidP="000E0199">
            <w:pPr>
              <w:numPr>
                <w:ilvl w:val="0"/>
                <w:numId w:val="46"/>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  La estructura del sistema tributario colombiano. </w:t>
            </w:r>
          </w:p>
          <w:p w:rsidR="000E0199" w:rsidRPr="000E0199" w:rsidRDefault="000E0199" w:rsidP="000E0199">
            <w:pPr>
              <w:jc w:val="both"/>
              <w:rPr>
                <w:rFonts w:asciiTheme="minorHAnsi" w:hAnsiTheme="minorHAnsi" w:cstheme="minorHAnsi"/>
                <w:sz w:val="22"/>
                <w:szCs w:val="22"/>
                <w:lang w:val="es-CO"/>
              </w:rPr>
            </w:pP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2.2 Teoría económica de la tributación</w:t>
            </w: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2.2.1 Imposición, eficiencia y equidad: imposición óptima. </w:t>
            </w:r>
          </w:p>
          <w:p w:rsidR="000E0199" w:rsidRPr="000E0199" w:rsidRDefault="000E0199" w:rsidP="000E0199">
            <w:pPr>
              <w:numPr>
                <w:ilvl w:val="0"/>
                <w:numId w:val="47"/>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La eficiencia de los impuestos: distorsiones impositivas. </w:t>
            </w:r>
          </w:p>
          <w:p w:rsidR="000E0199" w:rsidRPr="000E0199" w:rsidRDefault="000E0199" w:rsidP="000E0199">
            <w:pPr>
              <w:numPr>
                <w:ilvl w:val="0"/>
                <w:numId w:val="47"/>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Exceso de gravamen: concepto, determinantes y medición. Los costos de bienestar del sistema fiscal. </w:t>
            </w:r>
          </w:p>
          <w:p w:rsidR="000E0199" w:rsidRPr="000E0199" w:rsidRDefault="000E0199" w:rsidP="000E0199">
            <w:pPr>
              <w:numPr>
                <w:ilvl w:val="0"/>
                <w:numId w:val="47"/>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Reglas generales de imposición eficiente. </w:t>
            </w:r>
          </w:p>
          <w:p w:rsidR="000E0199" w:rsidRPr="000E0199" w:rsidRDefault="000E0199" w:rsidP="000E0199">
            <w:pPr>
              <w:numPr>
                <w:ilvl w:val="0"/>
                <w:numId w:val="47"/>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Imposición óptima: eficiencia y equidad.</w:t>
            </w:r>
          </w:p>
          <w:p w:rsidR="000E0199" w:rsidRPr="000E0199" w:rsidRDefault="000E0199" w:rsidP="000E0199">
            <w:pPr>
              <w:numPr>
                <w:ilvl w:val="0"/>
                <w:numId w:val="47"/>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Metas redistributivas y costos de eficiencia. </w:t>
            </w:r>
          </w:p>
          <w:p w:rsidR="000E0199" w:rsidRPr="000E0199" w:rsidRDefault="000E0199" w:rsidP="000E0199">
            <w:pPr>
              <w:numPr>
                <w:ilvl w:val="0"/>
                <w:numId w:val="47"/>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Imposición óptima y política tributaria.</w:t>
            </w: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2.2.2 Incidencia distributiva de la imposición.</w:t>
            </w:r>
          </w:p>
          <w:p w:rsidR="000E0199" w:rsidRPr="000E0199" w:rsidRDefault="000E0199" w:rsidP="000E0199">
            <w:pPr>
              <w:numPr>
                <w:ilvl w:val="0"/>
                <w:numId w:val="48"/>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Incidencia formal y efectiva: el concepto de traslación. </w:t>
            </w:r>
          </w:p>
          <w:p w:rsidR="000E0199" w:rsidRPr="000E0199" w:rsidRDefault="000E0199" w:rsidP="000E0199">
            <w:pPr>
              <w:numPr>
                <w:ilvl w:val="0"/>
                <w:numId w:val="48"/>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Incidencia impositiva en equilibrio parcial y general.</w:t>
            </w:r>
          </w:p>
          <w:p w:rsidR="000E0199" w:rsidRPr="000E0199" w:rsidRDefault="000E0199" w:rsidP="000E0199">
            <w:pPr>
              <w:numPr>
                <w:ilvl w:val="0"/>
                <w:numId w:val="48"/>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Evidencia empírica sobre la incidencia impositiva. </w:t>
            </w: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2.2.3 Análisis de la imposición sobre las personas y sociedades. </w:t>
            </w: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2.2.3.1 El impuesto sobre la renta personal. </w:t>
            </w:r>
          </w:p>
          <w:p w:rsidR="000E0199" w:rsidRPr="000E0199" w:rsidRDefault="000E0199" w:rsidP="000E0199">
            <w:pPr>
              <w:numPr>
                <w:ilvl w:val="0"/>
                <w:numId w:val="25"/>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¿Por qué un impuesto sobre la renta personal?</w:t>
            </w:r>
          </w:p>
          <w:p w:rsidR="000E0199" w:rsidRPr="000E0199" w:rsidRDefault="000E0199" w:rsidP="000E0199">
            <w:pPr>
              <w:numPr>
                <w:ilvl w:val="0"/>
                <w:numId w:val="26"/>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Determinación del concepto fiscal de renta. </w:t>
            </w:r>
          </w:p>
          <w:p w:rsidR="000E0199" w:rsidRPr="000E0199" w:rsidRDefault="000E0199" w:rsidP="000E0199">
            <w:pPr>
              <w:numPr>
                <w:ilvl w:val="0"/>
                <w:numId w:val="27"/>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Progresividad del impuesto sobre la renta: justificación, objetivos y medición.</w:t>
            </w:r>
          </w:p>
          <w:p w:rsidR="000E0199" w:rsidRPr="000E0199" w:rsidRDefault="000E0199" w:rsidP="000E0199">
            <w:pPr>
              <w:numPr>
                <w:ilvl w:val="0"/>
                <w:numId w:val="28"/>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Progresividad del impuesto de renta y distribución: conceptos y medidas. </w:t>
            </w:r>
          </w:p>
          <w:p w:rsidR="000E0199" w:rsidRPr="000E0199" w:rsidRDefault="000E0199" w:rsidP="000E0199">
            <w:pPr>
              <w:numPr>
                <w:ilvl w:val="0"/>
                <w:numId w:val="29"/>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Revisión de estudios empíricos sobre progresividad y redistribución de la imposición personal. </w:t>
            </w: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2.2.3.2 El impuesto sobre las sociedades</w:t>
            </w:r>
          </w:p>
          <w:p w:rsidR="000E0199" w:rsidRPr="000E0199" w:rsidRDefault="000E0199" w:rsidP="000E0199">
            <w:pPr>
              <w:numPr>
                <w:ilvl w:val="0"/>
                <w:numId w:val="3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¿Tiene sentido un impuesto sobre la renta de las sociedades?</w:t>
            </w:r>
          </w:p>
          <w:p w:rsidR="000E0199" w:rsidRPr="000E0199" w:rsidRDefault="000E0199" w:rsidP="000E0199">
            <w:pPr>
              <w:numPr>
                <w:ilvl w:val="0"/>
                <w:numId w:val="31"/>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El impuesto sobre las sociedades y las decisiones de inversión y financiación empresarial. </w:t>
            </w:r>
          </w:p>
          <w:p w:rsidR="000E0199" w:rsidRPr="000E0199" w:rsidRDefault="000E0199" w:rsidP="000E0199">
            <w:pPr>
              <w:numPr>
                <w:ilvl w:val="0"/>
                <w:numId w:val="32"/>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Estudios empíricos sobre los efectos de los impuestos a las sociedades en las decisiones de inversión y financiación empresarial. </w:t>
            </w: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 2.2.3.3 Efectos microeconómicos de la imposición sobre el comportamiento individual.</w:t>
            </w:r>
          </w:p>
          <w:p w:rsidR="000E0199" w:rsidRPr="000E0199" w:rsidRDefault="000E0199" w:rsidP="000E0199">
            <w:pPr>
              <w:numPr>
                <w:ilvl w:val="0"/>
                <w:numId w:val="33"/>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Imposición y oferta de trabajo.</w:t>
            </w:r>
          </w:p>
          <w:p w:rsidR="000E0199" w:rsidRPr="000E0199" w:rsidRDefault="000E0199" w:rsidP="000E0199">
            <w:pPr>
              <w:numPr>
                <w:ilvl w:val="0"/>
                <w:numId w:val="3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Imposición y ahorro.</w:t>
            </w:r>
          </w:p>
          <w:p w:rsidR="000E0199" w:rsidRPr="000E0199" w:rsidRDefault="000E0199" w:rsidP="000E0199">
            <w:pPr>
              <w:numPr>
                <w:ilvl w:val="0"/>
                <w:numId w:val="35"/>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Comportamientos de evasión y elusión fiscal.</w:t>
            </w:r>
          </w:p>
          <w:p w:rsidR="000E0199" w:rsidRPr="000E0199" w:rsidRDefault="000E0199" w:rsidP="000E0199">
            <w:pPr>
              <w:numPr>
                <w:ilvl w:val="0"/>
                <w:numId w:val="36"/>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lastRenderedPageBreak/>
              <w:t xml:space="preserve">Estudios empíricos sobre efectos de la imposición sobre la oferta de trabajo, el ahorro y la evasión. </w:t>
            </w: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      2.2.3.4 El impuesto sobre el valor agregado.</w:t>
            </w:r>
          </w:p>
          <w:p w:rsidR="000E0199" w:rsidRPr="000E0199" w:rsidRDefault="000E0199" w:rsidP="000E0199">
            <w:pPr>
              <w:numPr>
                <w:ilvl w:val="0"/>
                <w:numId w:val="37"/>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¿Por qué gravar el consumo? </w:t>
            </w:r>
          </w:p>
          <w:p w:rsidR="000E0199" w:rsidRPr="000E0199" w:rsidRDefault="000E0199" w:rsidP="000E0199">
            <w:pPr>
              <w:numPr>
                <w:ilvl w:val="0"/>
                <w:numId w:val="38"/>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Clasificación de los impuestos sobre el consumo.  </w:t>
            </w:r>
          </w:p>
          <w:p w:rsidR="000E0199" w:rsidRPr="000E0199" w:rsidRDefault="000E0199" w:rsidP="000E0199">
            <w:pPr>
              <w:numPr>
                <w:ilvl w:val="0"/>
                <w:numId w:val="39"/>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El IVA: antecedentes, funcionamiento, ventajas e inconvenientes. </w:t>
            </w:r>
          </w:p>
          <w:p w:rsidR="000E0199" w:rsidRPr="000E0199" w:rsidRDefault="000E0199" w:rsidP="000E0199">
            <w:pPr>
              <w:numPr>
                <w:ilvl w:val="0"/>
                <w:numId w:val="4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Efectos económicos del IVA. </w:t>
            </w: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      2.2.3.5 Imposición sobre la riqueza.</w:t>
            </w:r>
          </w:p>
          <w:p w:rsidR="000E0199" w:rsidRPr="000E0199" w:rsidRDefault="000E0199" w:rsidP="000E0199">
            <w:pPr>
              <w:numPr>
                <w:ilvl w:val="0"/>
                <w:numId w:val="41"/>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¿Por qué gravar la riqueza? </w:t>
            </w:r>
          </w:p>
          <w:p w:rsidR="000E0199" w:rsidRPr="000E0199" w:rsidRDefault="000E0199" w:rsidP="000E0199">
            <w:pPr>
              <w:numPr>
                <w:ilvl w:val="0"/>
                <w:numId w:val="42"/>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Clasificación de los impuestos sobre la riqueza.  </w:t>
            </w:r>
          </w:p>
          <w:p w:rsidR="000E0199" w:rsidRPr="000E0199" w:rsidRDefault="000E0199" w:rsidP="000E0199">
            <w:pPr>
              <w:numPr>
                <w:ilvl w:val="0"/>
                <w:numId w:val="43"/>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Efectos económicos. </w:t>
            </w:r>
          </w:p>
          <w:p w:rsidR="000E0199" w:rsidRPr="000E0199" w:rsidRDefault="000E0199" w:rsidP="000E0199">
            <w:pPr>
              <w:jc w:val="both"/>
              <w:rPr>
                <w:rFonts w:asciiTheme="minorHAnsi" w:hAnsiTheme="minorHAnsi" w:cstheme="minorHAnsi"/>
                <w:sz w:val="22"/>
                <w:szCs w:val="22"/>
                <w:lang w:val="es-CO"/>
              </w:rPr>
            </w:pPr>
          </w:p>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2.3 Equidad y tributación </w:t>
            </w:r>
          </w:p>
          <w:p w:rsidR="000E0199" w:rsidRPr="000E0199" w:rsidRDefault="000E0199" w:rsidP="000E0199">
            <w:pPr>
              <w:numPr>
                <w:ilvl w:val="0"/>
                <w:numId w:val="4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Enfoques de la justicia distributiva.</w:t>
            </w:r>
          </w:p>
          <w:p w:rsidR="000E0199" w:rsidRPr="000E0199" w:rsidRDefault="000E0199" w:rsidP="000E0199">
            <w:pPr>
              <w:numPr>
                <w:ilvl w:val="0"/>
                <w:numId w:val="4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Progresividad fiscal: concepto, medición e implementación. </w:t>
            </w:r>
          </w:p>
          <w:p w:rsidR="000E0199" w:rsidRPr="000E0199" w:rsidRDefault="000E0199" w:rsidP="000E0199">
            <w:pPr>
              <w:numPr>
                <w:ilvl w:val="0"/>
                <w:numId w:val="4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Límites a las políticas redistributivas: eficiencia vs. equidad.  </w:t>
            </w:r>
          </w:p>
          <w:p w:rsidR="000E0199" w:rsidRPr="000E0199" w:rsidRDefault="000E0199" w:rsidP="000E0199">
            <w:pPr>
              <w:jc w:val="both"/>
              <w:rPr>
                <w:rFonts w:asciiTheme="minorHAnsi" w:hAnsiTheme="minorHAnsi" w:cstheme="minorHAnsi"/>
                <w:sz w:val="22"/>
                <w:szCs w:val="22"/>
                <w:lang w:val="es-CO"/>
              </w:rPr>
            </w:pPr>
          </w:p>
        </w:tc>
      </w:tr>
      <w:tr w:rsidR="000E0199" w:rsidRPr="000E0199" w:rsidTr="00EE00F9">
        <w:tc>
          <w:tcPr>
            <w:tcW w:w="3150" w:type="dxa"/>
            <w:shd w:val="clear" w:color="auto" w:fill="auto"/>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lastRenderedPageBreak/>
              <w:t>Actividades de trabajo independiente para los estudiantes</w:t>
            </w:r>
          </w:p>
        </w:tc>
        <w:tc>
          <w:tcPr>
            <w:tcW w:w="5918" w:type="dxa"/>
            <w:shd w:val="clear" w:color="auto" w:fill="auto"/>
          </w:tcPr>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Preparar con antelación a cada clase, un resumen sobre los principales contenidos que se abordarían en esta.</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En grupos de tres personas, se asignará un subtema del curso para que al inicio de cada clase se inicie con una corta exposición introductoria.</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Cuando sea pertinente, se propondrán ejercicios sobre la temática trabajada; luego, en clase, se discutirá la solución de dichos ejercicios. </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Lectura de bibliografía básica. </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Continuar con la realización del trabajo investigativo. </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Realizar un análisis crítico del sistema impositivo en Colombia.</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Estudios de caso, en los que los estudiantes analizarán problemas y sugerirán soluciones pertinentes con base en la teoría planteada.</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Talleres con ejercicios de aplicación y preguntas de síntesis. </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Asesorías con el profesor.</w:t>
            </w:r>
          </w:p>
          <w:p w:rsidR="000E0199" w:rsidRPr="000E0199" w:rsidRDefault="000E0199" w:rsidP="000E0199">
            <w:pPr>
              <w:numPr>
                <w:ilvl w:val="0"/>
                <w:numId w:val="24"/>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Asesorías con el monitor. </w:t>
            </w:r>
          </w:p>
          <w:p w:rsidR="000E0199" w:rsidRPr="000E0199" w:rsidRDefault="000E0199" w:rsidP="000E0199">
            <w:pPr>
              <w:jc w:val="both"/>
              <w:rPr>
                <w:rFonts w:asciiTheme="minorHAnsi" w:hAnsiTheme="minorHAnsi" w:cstheme="minorHAnsi"/>
                <w:b/>
                <w:sz w:val="22"/>
                <w:szCs w:val="22"/>
                <w:lang w:val="es-CO"/>
              </w:rPr>
            </w:pPr>
          </w:p>
        </w:tc>
      </w:tr>
    </w:tbl>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 xml:space="preserve">BIBLIOGRAFÍA BÁSICA </w:t>
      </w:r>
    </w:p>
    <w:p w:rsidR="000E0199" w:rsidRPr="000E0199" w:rsidRDefault="000E0199" w:rsidP="000E0199">
      <w:pPr>
        <w:jc w:val="both"/>
        <w:rPr>
          <w:rFonts w:asciiTheme="minorHAnsi" w:hAnsiTheme="minorHAnsi" w:cstheme="minorHAnsi"/>
          <w:b/>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0E0199" w:rsidRPr="000E0199" w:rsidTr="00EE00F9">
        <w:tc>
          <w:tcPr>
            <w:tcW w:w="8962" w:type="dxa"/>
          </w:tcPr>
          <w:p w:rsidR="000E0199" w:rsidRPr="000E0199" w:rsidRDefault="000E0199" w:rsidP="000E0199">
            <w:pPr>
              <w:numPr>
                <w:ilvl w:val="0"/>
                <w:numId w:val="49"/>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Albi, Emilio, José González-Páramo e Ignacio Zubiri. Economía Pública II. Editorial Ariel, 2000. Capítulos 1-8.  </w:t>
            </w:r>
          </w:p>
          <w:p w:rsidR="000E0199" w:rsidRPr="000E0199" w:rsidRDefault="000E0199" w:rsidP="000E0199">
            <w:pPr>
              <w:numPr>
                <w:ilvl w:val="0"/>
                <w:numId w:val="49"/>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Argandoña, Antonio, Consuelo Gámez y Francisco Mochón. Macroeconomía Avanzada I. McGraw-Hill, 1996. Capítulos 6-8, 10-11. </w:t>
            </w:r>
          </w:p>
          <w:p w:rsidR="000E0199" w:rsidRPr="000E0199" w:rsidRDefault="000E0199" w:rsidP="000E0199">
            <w:pPr>
              <w:numPr>
                <w:ilvl w:val="0"/>
                <w:numId w:val="49"/>
              </w:numPr>
              <w:jc w:val="both"/>
              <w:rPr>
                <w:rFonts w:asciiTheme="minorHAnsi" w:hAnsiTheme="minorHAnsi" w:cstheme="minorHAnsi"/>
                <w:sz w:val="22"/>
                <w:szCs w:val="22"/>
                <w:lang w:val="en-US"/>
              </w:rPr>
            </w:pPr>
            <w:r w:rsidRPr="000E0199">
              <w:rPr>
                <w:rFonts w:asciiTheme="minorHAnsi" w:hAnsiTheme="minorHAnsi" w:cstheme="minorHAnsi"/>
                <w:sz w:val="22"/>
                <w:szCs w:val="22"/>
                <w:lang w:val="en-US"/>
              </w:rPr>
              <w:t xml:space="preserve">Carlin, Wendy and Soskice, David. Macroeconomics: Imperfections, institutions and </w:t>
            </w:r>
            <w:r w:rsidRPr="000E0199">
              <w:rPr>
                <w:rFonts w:asciiTheme="minorHAnsi" w:hAnsiTheme="minorHAnsi" w:cstheme="minorHAnsi"/>
                <w:sz w:val="22"/>
                <w:szCs w:val="22"/>
                <w:lang w:val="en-US"/>
              </w:rPr>
              <w:lastRenderedPageBreak/>
              <w:t>policies. Oxford University Press, 2006. Chapters 3, 5-6, 11, 16.</w:t>
            </w:r>
          </w:p>
          <w:p w:rsidR="000E0199" w:rsidRPr="000E0199" w:rsidRDefault="000E0199" w:rsidP="000E0199">
            <w:pPr>
              <w:numPr>
                <w:ilvl w:val="0"/>
                <w:numId w:val="49"/>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De Gregorio, José. Macroeconomía: Teoría y Políticas. Prentice Hall, 2007. Caps. 21, 22 y 25. </w:t>
            </w:r>
          </w:p>
          <w:p w:rsidR="000E0199" w:rsidRPr="000E0199" w:rsidRDefault="000E0199" w:rsidP="000E0199">
            <w:pPr>
              <w:numPr>
                <w:ilvl w:val="0"/>
                <w:numId w:val="49"/>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Fergusson, Leopoldo y Gustavo Suárez. Política Fiscal: Un enfoque de tributación óptima.  Uniandes-CEDE, 2010. Capítulos 1-4, 8-12.</w:t>
            </w:r>
          </w:p>
          <w:p w:rsidR="000E0199" w:rsidRPr="000E0199" w:rsidRDefault="000E0199" w:rsidP="000E0199">
            <w:pPr>
              <w:numPr>
                <w:ilvl w:val="0"/>
                <w:numId w:val="49"/>
              </w:numPr>
              <w:jc w:val="both"/>
              <w:rPr>
                <w:rFonts w:asciiTheme="minorHAnsi" w:hAnsiTheme="minorHAnsi" w:cstheme="minorHAnsi"/>
                <w:sz w:val="22"/>
                <w:szCs w:val="22"/>
                <w:lang w:val="en-US"/>
              </w:rPr>
            </w:pPr>
            <w:r w:rsidRPr="000E0199">
              <w:rPr>
                <w:rFonts w:asciiTheme="minorHAnsi" w:hAnsiTheme="minorHAnsi" w:cstheme="minorHAnsi"/>
                <w:sz w:val="22"/>
                <w:szCs w:val="22"/>
                <w:lang w:val="en-US"/>
              </w:rPr>
              <w:t>Gruber, Jonathan. Public Finance and Public Policy. Third edition. Worth, 2011. Chapters 1-2, 4-5, 7-10, 18-25.</w:t>
            </w:r>
          </w:p>
          <w:p w:rsidR="000E0199" w:rsidRPr="000E0199" w:rsidRDefault="000E0199" w:rsidP="000E0199">
            <w:pPr>
              <w:numPr>
                <w:ilvl w:val="0"/>
                <w:numId w:val="49"/>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Romer, David. Macroeconomía Avanzada. McGraw-Hill, 2006. Tercera edición. Caps. 10-11.</w:t>
            </w:r>
          </w:p>
          <w:p w:rsidR="000E0199" w:rsidRPr="000E0199" w:rsidRDefault="000E0199" w:rsidP="000E0199">
            <w:pPr>
              <w:numPr>
                <w:ilvl w:val="0"/>
                <w:numId w:val="49"/>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Rosen, Harvey S. Hacienda Pública. McGraw-Hill Interamericana, 2001. Capítulos 11-21. </w:t>
            </w:r>
          </w:p>
          <w:p w:rsidR="000E0199" w:rsidRPr="000E0199" w:rsidRDefault="000E0199" w:rsidP="000E0199">
            <w:pPr>
              <w:jc w:val="both"/>
              <w:rPr>
                <w:rFonts w:asciiTheme="minorHAnsi" w:hAnsiTheme="minorHAnsi" w:cstheme="minorHAnsi"/>
                <w:b/>
                <w:sz w:val="22"/>
                <w:szCs w:val="22"/>
                <w:lang w:val="es-CO"/>
              </w:rPr>
            </w:pPr>
          </w:p>
        </w:tc>
      </w:tr>
    </w:tbl>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BIBLIOGRAFÍA COMPLEMENTARIA</w:t>
      </w:r>
    </w:p>
    <w:p w:rsidR="000E0199" w:rsidRPr="000E0199" w:rsidRDefault="000E0199" w:rsidP="000E0199">
      <w:pPr>
        <w:jc w:val="both"/>
        <w:rPr>
          <w:rFonts w:asciiTheme="minorHAnsi" w:hAnsiTheme="minorHAnsi" w:cstheme="minorHAnsi"/>
          <w:b/>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0E0199" w:rsidRPr="000E0199" w:rsidTr="00EE00F9">
        <w:tc>
          <w:tcPr>
            <w:tcW w:w="8962" w:type="dxa"/>
          </w:tcPr>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Albi, Emilio, José González-Páramo e Ignacio Zubiri. Economía Pública I. Editorial Ariel, 2000. Capítulos 3, 5 y 6 (sección 1).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    Avendaño, Natasha. Evasión en el impuesto a la renta de personas naturales: Colombia 1970-1999. Archivos de Economía, 295, octubre de 2005.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Banco Mundial. Informe sobre el desarrollo mundial 1988. Oxford University Press, 1988. Capítulos 1, 2 y 3.</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Banco Mundial. Informe sobre el desarrollo mundial 1997. Oxford University Press, 1997. Panorama General y capítulos 1, 2 y 3. </w:t>
            </w:r>
          </w:p>
          <w:p w:rsidR="000E0199" w:rsidRPr="000E0199" w:rsidRDefault="000E0199" w:rsidP="000E0199">
            <w:pPr>
              <w:numPr>
                <w:ilvl w:val="0"/>
                <w:numId w:val="50"/>
              </w:numPr>
              <w:jc w:val="both"/>
              <w:rPr>
                <w:rFonts w:asciiTheme="minorHAnsi" w:hAnsiTheme="minorHAnsi" w:cstheme="minorHAnsi"/>
                <w:sz w:val="22"/>
                <w:szCs w:val="22"/>
                <w:lang w:val="en-US"/>
              </w:rPr>
            </w:pPr>
            <w:r w:rsidRPr="000E0199">
              <w:rPr>
                <w:rFonts w:asciiTheme="minorHAnsi" w:hAnsiTheme="minorHAnsi" w:cstheme="minorHAnsi"/>
                <w:sz w:val="22"/>
                <w:szCs w:val="22"/>
                <w:lang w:val="en-US"/>
              </w:rPr>
              <w:t xml:space="preserve">Barro, Robert. Macroeconomic Policy. Harvard University Press, 1990. Parte III (Fiscal Policy).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Barro, Robert; Vittorio Grilli y Ramón Febrero. Macroeconomía. Mc-Graw Hill, 1997. Capítulos 16, 17, 18 y 19.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Berganza, Juan Carlos (2013). Reglas fiscales en América Latina. Boletín Económico. Banco de España.</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Bird, Richard, James Poterba y Joel Slemrod (editores). Bases para una reforma tributaria estructural en Colombia. Banco de la República y Fedesarrollo, 2006.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Caballero Argáez, Carlos y Carlos Esteban Posada. Una nota sobre los elementos coyunturales y estructurales del déficit fiscal en el caso colombiano reciente. Borradores de Economía, 235, marzo de 2003.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Cárdenas, Mauricio. Introducción a la Economía Colombiana. Alfaomega–Fedesarrollo, 2007. Capítulo 5.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   CEPAL. Tributación en América Latina. En busca de una nueva agenda de reformas. Libros de la CEPAL, 93. Santiago de Chile, diciembre de 2006.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Clavijo, Sergio. Política fiscal y Estado en Colombia. Universidad de los Andes, 1998.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Clavijo, Sergio. Tributación, equidad y eficiencia en Colombia: guía para salir de un sistema tributario amalgamado. Borradores de Economía, 325, febrero de 2005.</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Eslava, Marcela. Crisis y recuperación de las finanzas públicas: lecciones de América Latina para el caso colombiano. Archivos de Macroeconomía, 116, julio de 1999.</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Fergusson, Leopoldo. Impuestos, crecimiento económico y bienestar en Colombia. Desarrollo y Sociedad, 52, septiembre de 2003.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Gómez, Javier. La Política Monetaria en Colombia. Borradores de Economía, 394, abril de 2006.</w:t>
            </w:r>
          </w:p>
          <w:p w:rsidR="000E0199" w:rsidRPr="000E0199" w:rsidRDefault="000E0199" w:rsidP="000E0199">
            <w:pPr>
              <w:numPr>
                <w:ilvl w:val="0"/>
                <w:numId w:val="50"/>
              </w:numPr>
              <w:jc w:val="both"/>
              <w:rPr>
                <w:rFonts w:asciiTheme="minorHAnsi" w:hAnsiTheme="minorHAnsi" w:cstheme="minorHAnsi"/>
                <w:sz w:val="22"/>
                <w:szCs w:val="22"/>
                <w:lang w:val="en-US"/>
              </w:rPr>
            </w:pPr>
            <w:r w:rsidRPr="000E0199">
              <w:rPr>
                <w:rFonts w:asciiTheme="minorHAnsi" w:hAnsiTheme="minorHAnsi" w:cstheme="minorHAnsi"/>
                <w:sz w:val="22"/>
                <w:szCs w:val="22"/>
                <w:lang w:val="en-US"/>
              </w:rPr>
              <w:t xml:space="preserve">Gordon, Roger y Wei Li (2009). Tax Structure in Developing Countries: Many Puzzles and a Possible Explanation. Journal of Public Economics, Vol. 93 Nos. 7-8, 9, pp. 855-866.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Jaramillo, Christian y Jorge Tovar. Reflexiones sobre la teoría y la práctica del IVA en Colombia. Documento CEDE 2007-07, abril de 2007.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Jaramillo, Christian. Economía política de la reforma tributaria hacia un impuesto plano. Documento CEDE 2007-08, mayo de 2007.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lastRenderedPageBreak/>
              <w:t xml:space="preserve">Junguito, Roberto y Rincón Hernán. La política fiscal en el siglo XX en Colombia. Borradores de economía, 318, noviembre de 2004.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Kopits, George, Ernesto Stein y otros. Seminario sobre reglas fiscales, instituciones e instrumentos presupuestarios plurianuales. En: http//capacitación. Mechón.gov.ar/manuales.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   Lozano, Ignacio, Hernán Rincón, Miguel Sarmiento y Jorge Ramos (2008). Regla fiscal cuantitativa para consolidar y blindar las finanzas públicas de Colombia. Revista de Economía Institucional, Vol. 10, No. 19, pp. 311-352.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Mankiw, Gregory. Macroeconomía. Antoni Bosch, 1997. Capítulos 14 y 15.</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Martner, Ricardo. Estrategias de política económica en un mundo incierto. Cuadernos del ILPES, 45,  Santiago de Chile, 2000. Capítulo 5.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   Martner, Ricardo y Varinia Tromben. La sostenibilidad de la deuda pública, el efecto bola de nieve y el “pecado original”. ILPES-CEPAL. Serie Gestión Pública, 46, junio de 2004.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Posada, Carlos Esteban y Luis Eduardo Arango. ¿Podremos sostener la deuda pública? Borradores de Economía, 165, diciembre, 2000.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Posada, Carlos Esteban. ¿Por qué ha crecido el gasto público? Borradores de Economía, 51, abril de 1996.</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Ramos, Jorge y Hernán Rincón. El balance fiscal y el balance en cuenta corriente en Colombia: canales de transmisión y causalidad. Borradores de Economía, 166, diciembre de 2000.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Rhenals, Remberto y Juan Pablo Saldarriaga (2008). Una regla de Taylor óptima para Colombia, 1991-2006. Lecturas de Economía, No. 69, pp. 9-39.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Sachs, Jeffrey y Felipe Larraín. Macroeconomía en la economía global. Prentice Hall Hispanoamericana, 1994. Capítulos 7, 11 y 19.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Sánchez, Fabio y Silvia Espinosa. Impuestos y reformas tributarias en Colombia, 1980-2003. Documentos CEDE, 11, febrero de 2005.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Talvi, Ernesto y Carlos Végh (Compiladores). ¿Cómo armar el rompecabezas fiscal? BID, 2000. Capítulos 1 y 4.</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Taylor, Jhon B. Uso de reglas de política monetaria en economías de mercado emergentes. Banco de México, 2000.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 xml:space="preserve">Varela Carid, Fernando. Reglas fiscales y ciclos económicos. Ventajas e inconvenientes fiscales en la perspectiva de los fines y la efectividad de la política fiscal y experiencia en EE. UU. Ekonomiaz, 52, Primer cuatrimestre 2003. </w:t>
            </w:r>
          </w:p>
          <w:p w:rsidR="000E0199" w:rsidRPr="000E0199" w:rsidRDefault="000E0199" w:rsidP="000E0199">
            <w:pPr>
              <w:numPr>
                <w:ilvl w:val="0"/>
                <w:numId w:val="50"/>
              </w:num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Villar, Leonardo. Reglas versus discrecionalidad en las políticas fiscal, monetaria y cambiaria: un problema de economía política y credibilidad. Revista del Banco de la República, 880, febrero de 2001.</w:t>
            </w:r>
          </w:p>
          <w:p w:rsidR="000E0199" w:rsidRPr="000E0199" w:rsidRDefault="000E0199" w:rsidP="000E0199">
            <w:pPr>
              <w:jc w:val="both"/>
              <w:rPr>
                <w:rFonts w:asciiTheme="minorHAnsi" w:hAnsiTheme="minorHAnsi" w:cstheme="minorHAnsi"/>
                <w:b/>
                <w:sz w:val="22"/>
                <w:szCs w:val="22"/>
                <w:lang w:val="es-CO"/>
              </w:rPr>
            </w:pPr>
          </w:p>
        </w:tc>
      </w:tr>
    </w:tbl>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p>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 xml:space="preserve">EVALUACIÓN </w:t>
      </w:r>
    </w:p>
    <w:p w:rsidR="000E0199" w:rsidRPr="000E0199" w:rsidRDefault="000E0199" w:rsidP="000E0199">
      <w:pPr>
        <w:jc w:val="both"/>
        <w:rPr>
          <w:rFonts w:asciiTheme="minorHAnsi" w:hAnsiTheme="minorHAnsi" w:cstheme="minorHAnsi"/>
          <w:b/>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3118"/>
        <w:gridCol w:w="3118"/>
      </w:tblGrid>
      <w:tr w:rsidR="000E0199" w:rsidRPr="000E0199" w:rsidTr="00EE00F9">
        <w:tc>
          <w:tcPr>
            <w:tcW w:w="2726" w:type="dxa"/>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Actividad</w:t>
            </w:r>
          </w:p>
        </w:tc>
        <w:tc>
          <w:tcPr>
            <w:tcW w:w="3118" w:type="dxa"/>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Porcentaje</w:t>
            </w:r>
          </w:p>
        </w:tc>
        <w:tc>
          <w:tcPr>
            <w:tcW w:w="3118" w:type="dxa"/>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Fecha (tentativa)</w:t>
            </w:r>
          </w:p>
        </w:tc>
      </w:tr>
      <w:tr w:rsidR="000E0199" w:rsidRPr="000E0199" w:rsidTr="00EE00F9">
        <w:tc>
          <w:tcPr>
            <w:tcW w:w="2726" w:type="dxa"/>
          </w:tcPr>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Primer Parcial</w:t>
            </w:r>
          </w:p>
        </w:tc>
        <w:tc>
          <w:tcPr>
            <w:tcW w:w="3118" w:type="dxa"/>
          </w:tcPr>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33%</w:t>
            </w:r>
          </w:p>
        </w:tc>
        <w:tc>
          <w:tcPr>
            <w:tcW w:w="3118" w:type="dxa"/>
          </w:tcPr>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21 de mayo de 2015</w:t>
            </w:r>
          </w:p>
        </w:tc>
      </w:tr>
      <w:tr w:rsidR="000E0199" w:rsidRPr="000E0199" w:rsidTr="00EE00F9">
        <w:tc>
          <w:tcPr>
            <w:tcW w:w="2726" w:type="dxa"/>
          </w:tcPr>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Segundo Parcial</w:t>
            </w:r>
          </w:p>
        </w:tc>
        <w:tc>
          <w:tcPr>
            <w:tcW w:w="3118" w:type="dxa"/>
          </w:tcPr>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33%</w:t>
            </w:r>
          </w:p>
        </w:tc>
        <w:tc>
          <w:tcPr>
            <w:tcW w:w="3118" w:type="dxa"/>
          </w:tcPr>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25 de junio de 2015</w:t>
            </w:r>
          </w:p>
        </w:tc>
      </w:tr>
      <w:tr w:rsidR="000E0199" w:rsidRPr="000E0199" w:rsidTr="00EE00F9">
        <w:tc>
          <w:tcPr>
            <w:tcW w:w="2726" w:type="dxa"/>
          </w:tcPr>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Examen final</w:t>
            </w:r>
          </w:p>
        </w:tc>
        <w:tc>
          <w:tcPr>
            <w:tcW w:w="3118" w:type="dxa"/>
          </w:tcPr>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34%</w:t>
            </w:r>
          </w:p>
        </w:tc>
        <w:tc>
          <w:tcPr>
            <w:tcW w:w="3118" w:type="dxa"/>
          </w:tcPr>
          <w:p w:rsidR="000E0199" w:rsidRPr="000E0199" w:rsidRDefault="000E0199" w:rsidP="000E0199">
            <w:pPr>
              <w:jc w:val="both"/>
              <w:rPr>
                <w:rFonts w:asciiTheme="minorHAnsi" w:hAnsiTheme="minorHAnsi" w:cstheme="minorHAnsi"/>
                <w:sz w:val="22"/>
                <w:szCs w:val="22"/>
                <w:lang w:val="es-CO"/>
              </w:rPr>
            </w:pPr>
            <w:r w:rsidRPr="000E0199">
              <w:rPr>
                <w:rFonts w:asciiTheme="minorHAnsi" w:hAnsiTheme="minorHAnsi" w:cstheme="minorHAnsi"/>
                <w:sz w:val="22"/>
                <w:szCs w:val="22"/>
                <w:lang w:val="es-CO"/>
              </w:rPr>
              <w:t>6 de agosto de 2015</w:t>
            </w:r>
          </w:p>
        </w:tc>
      </w:tr>
    </w:tbl>
    <w:p w:rsidR="000E0199" w:rsidRPr="000E0199" w:rsidRDefault="000E0199" w:rsidP="000E0199">
      <w:pPr>
        <w:jc w:val="both"/>
        <w:rPr>
          <w:rFonts w:asciiTheme="minorHAnsi" w:hAnsiTheme="minorHAnsi" w:cstheme="minorHAnsi"/>
          <w:b/>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0E0199" w:rsidRPr="000E0199" w:rsidTr="00EE00F9">
        <w:tc>
          <w:tcPr>
            <w:tcW w:w="8962" w:type="dxa"/>
          </w:tcPr>
          <w:p w:rsidR="000E0199" w:rsidRPr="000E0199" w:rsidRDefault="000E0199" w:rsidP="000E0199">
            <w:pPr>
              <w:jc w:val="both"/>
              <w:rPr>
                <w:rFonts w:asciiTheme="minorHAnsi" w:hAnsiTheme="minorHAnsi" w:cstheme="minorHAnsi"/>
                <w:b/>
                <w:sz w:val="22"/>
                <w:szCs w:val="22"/>
                <w:lang w:val="es-CO"/>
              </w:rPr>
            </w:pPr>
            <w:r w:rsidRPr="000E0199">
              <w:rPr>
                <w:rFonts w:asciiTheme="minorHAnsi" w:hAnsiTheme="minorHAnsi" w:cstheme="minorHAnsi"/>
                <w:b/>
                <w:sz w:val="22"/>
                <w:szCs w:val="22"/>
                <w:lang w:val="es-CO"/>
              </w:rPr>
              <w:t>Actividades de asistencia obligatoria: Todas</w:t>
            </w:r>
          </w:p>
        </w:tc>
      </w:tr>
    </w:tbl>
    <w:p w:rsidR="00A27B08" w:rsidRPr="000E0199" w:rsidRDefault="00A27B08" w:rsidP="00A27B08">
      <w:pPr>
        <w:jc w:val="both"/>
        <w:rPr>
          <w:rFonts w:asciiTheme="minorHAnsi" w:hAnsiTheme="minorHAnsi" w:cstheme="minorHAnsi"/>
          <w:b/>
          <w:sz w:val="22"/>
          <w:szCs w:val="22"/>
        </w:rPr>
      </w:pPr>
    </w:p>
    <w:p w:rsidR="000E0199" w:rsidRPr="00625AE0" w:rsidRDefault="000E0199" w:rsidP="00A27B08">
      <w:pPr>
        <w:jc w:val="both"/>
        <w:rPr>
          <w:rFonts w:asciiTheme="minorHAnsi" w:hAnsiTheme="minorHAnsi" w:cstheme="minorHAnsi"/>
          <w:b/>
          <w:sz w:val="22"/>
          <w:szCs w:val="22"/>
          <w:lang w:val="es-CO"/>
        </w:rPr>
      </w:pPr>
    </w:p>
    <w:p w:rsidR="00F95F43" w:rsidRPr="00625AE0" w:rsidRDefault="00F95F43" w:rsidP="00A27B08">
      <w:pPr>
        <w:rPr>
          <w:rFonts w:asciiTheme="minorHAnsi" w:hAnsiTheme="minorHAnsi" w:cstheme="minorHAnsi"/>
          <w:sz w:val="22"/>
          <w:szCs w:val="22"/>
          <w:lang w:val="es-CO"/>
        </w:rPr>
      </w:pPr>
    </w:p>
    <w:sectPr w:rsidR="00F95F43" w:rsidRPr="00625AE0" w:rsidSect="00DE08D9">
      <w:headerReference w:type="default" r:id="rId8"/>
      <w:footerReference w:type="even" r:id="rId9"/>
      <w:footerReference w:type="default" r:id="rId10"/>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45F" w:rsidRDefault="00D9045F" w:rsidP="00747214">
      <w:r>
        <w:separator/>
      </w:r>
    </w:p>
  </w:endnote>
  <w:endnote w:type="continuationSeparator" w:id="0">
    <w:p w:rsidR="00D9045F" w:rsidRDefault="00D9045F"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8D9" w:rsidRDefault="00DE08D9" w:rsidP="00DE08D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E08D9" w:rsidRDefault="00DE08D9" w:rsidP="00DE08D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8D9" w:rsidRDefault="003809B6">
    <w:pPr>
      <w:pStyle w:val="Piedepgina"/>
      <w:jc w:val="right"/>
    </w:pPr>
    <w:r>
      <w:fldChar w:fldCharType="begin"/>
    </w:r>
    <w:r>
      <w:instrText xml:space="preserve"> PAGE   \* MERGEFORMAT </w:instrText>
    </w:r>
    <w:r>
      <w:fldChar w:fldCharType="separate"/>
    </w:r>
    <w:r w:rsidR="00675EDD">
      <w:rPr>
        <w:noProof/>
      </w:rPr>
      <w:t>1</w:t>
    </w:r>
    <w:r>
      <w:rPr>
        <w:noProof/>
      </w:rPr>
      <w:fldChar w:fldCharType="end"/>
    </w:r>
  </w:p>
  <w:p w:rsidR="00DE08D9" w:rsidRDefault="00DE08D9" w:rsidP="00DE08D9">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45F" w:rsidRDefault="00D9045F" w:rsidP="00747214">
      <w:r>
        <w:separator/>
      </w:r>
    </w:p>
  </w:footnote>
  <w:footnote w:type="continuationSeparator" w:id="0">
    <w:p w:rsidR="00D9045F" w:rsidRDefault="00D9045F"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8D9" w:rsidRDefault="00DE08D9" w:rsidP="00F95F43">
    <w:pPr>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UNIVERSIDAD DE ANTIOQUIA</w:t>
    </w:r>
  </w:p>
  <w:p w:rsidR="00DE08D9" w:rsidRPr="00D45F8A" w:rsidRDefault="00DE08D9" w:rsidP="00F95F43">
    <w:pPr>
      <w:ind w:left="360"/>
      <w:jc w:val="center"/>
      <w:rPr>
        <w:rFonts w:asciiTheme="minorHAnsi" w:hAnsiTheme="minorHAnsi" w:cstheme="minorHAnsi"/>
        <w:b/>
        <w:noProof/>
        <w:lang w:val="es-CO" w:eastAsia="es-CO"/>
      </w:rPr>
    </w:pPr>
    <w:r>
      <w:rPr>
        <w:rFonts w:asciiTheme="minorHAnsi" w:hAnsiTheme="minorHAnsi" w:cstheme="minorHAnsi"/>
        <w:b/>
        <w:noProof/>
        <w:lang w:val="es-CO" w:eastAsia="es-CO"/>
      </w:rPr>
      <w:t>FACULTAD DE CIENCIAS ECONÓMICAS</w:t>
    </w:r>
  </w:p>
  <w:p w:rsidR="00DE08D9" w:rsidRPr="00F95F43" w:rsidRDefault="00DE08D9" w:rsidP="00F95F43">
    <w:pPr>
      <w:spacing w:after="240"/>
      <w:ind w:left="360"/>
      <w:jc w:val="center"/>
    </w:pPr>
    <w:r>
      <w:rPr>
        <w:rFonts w:asciiTheme="minorHAnsi" w:hAnsiTheme="minorHAnsi" w:cstheme="minorHAnsi"/>
        <w:b/>
        <w:noProof/>
        <w:sz w:val="28"/>
        <w:szCs w:val="28"/>
        <w:lang w:val="es-CO" w:eastAsia="es-CO"/>
      </w:rPr>
      <w:t xml:space="preserve">DEPARTAMENTO DE ECONOMÍA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50C29"/>
    <w:multiLevelType w:val="hybridMultilevel"/>
    <w:tmpl w:val="D2BC0532"/>
    <w:lvl w:ilvl="0" w:tplc="F390631E">
      <w:start w:val="1"/>
      <w:numFmt w:val="decimal"/>
      <w:lvlText w:val="2.2.1.%1"/>
      <w:lvlJc w:val="left"/>
      <w:pPr>
        <w:ind w:left="2203" w:hanging="360"/>
      </w:pPr>
      <w:rPr>
        <w:rFonts w:ascii="Calibri" w:eastAsia="Times New Roman" w:hAnsi="Calibri"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1722E6B"/>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2">
    <w:nsid w:val="05D024B9"/>
    <w:multiLevelType w:val="singleLevel"/>
    <w:tmpl w:val="67905FEC"/>
    <w:lvl w:ilvl="0">
      <w:start w:val="1"/>
      <w:numFmt w:val="none"/>
      <w:lvlText w:val=""/>
      <w:legacy w:legacy="1" w:legacySpace="120" w:legacyIndent="360"/>
      <w:lvlJc w:val="left"/>
      <w:pPr>
        <w:ind w:left="2160" w:hanging="360"/>
      </w:pPr>
      <w:rPr>
        <w:rFonts w:ascii="Symbol" w:hAnsi="Symbol" w:hint="default"/>
      </w:rPr>
    </w:lvl>
  </w:abstractNum>
  <w:abstractNum w:abstractNumId="3">
    <w:nsid w:val="062B42FE"/>
    <w:multiLevelType w:val="hybridMultilevel"/>
    <w:tmpl w:val="2286B2FE"/>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78F3904"/>
    <w:multiLevelType w:val="singleLevel"/>
    <w:tmpl w:val="67905FEC"/>
    <w:lvl w:ilvl="0">
      <w:start w:val="1"/>
      <w:numFmt w:val="none"/>
      <w:lvlText w:val=""/>
      <w:legacy w:legacy="1" w:legacySpace="120" w:legacyIndent="360"/>
      <w:lvlJc w:val="left"/>
      <w:pPr>
        <w:ind w:left="1080" w:hanging="360"/>
      </w:pPr>
      <w:rPr>
        <w:rFonts w:ascii="Symbol" w:hAnsi="Symbol" w:hint="default"/>
      </w:rPr>
    </w:lvl>
  </w:abstractNum>
  <w:abstractNum w:abstractNumId="5">
    <w:nsid w:val="07F27222"/>
    <w:multiLevelType w:val="singleLevel"/>
    <w:tmpl w:val="67905FEC"/>
    <w:lvl w:ilvl="0">
      <w:start w:val="1"/>
      <w:numFmt w:val="none"/>
      <w:lvlText w:val=""/>
      <w:legacy w:legacy="1" w:legacySpace="120" w:legacyIndent="360"/>
      <w:lvlJc w:val="left"/>
      <w:pPr>
        <w:ind w:left="2130" w:hanging="360"/>
      </w:pPr>
      <w:rPr>
        <w:rFonts w:ascii="Symbol" w:hAnsi="Symbol" w:hint="default"/>
      </w:rPr>
    </w:lvl>
  </w:abstractNum>
  <w:abstractNum w:abstractNumId="6">
    <w:nsid w:val="0ACB32A9"/>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7">
    <w:nsid w:val="0AEC3AED"/>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8">
    <w:nsid w:val="0F155688"/>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9">
    <w:nsid w:val="0F8109DA"/>
    <w:multiLevelType w:val="singleLevel"/>
    <w:tmpl w:val="67905FEC"/>
    <w:lvl w:ilvl="0">
      <w:start w:val="1"/>
      <w:numFmt w:val="none"/>
      <w:lvlText w:val=""/>
      <w:legacy w:legacy="1" w:legacySpace="120" w:legacyIndent="360"/>
      <w:lvlJc w:val="left"/>
      <w:pPr>
        <w:ind w:left="1080" w:hanging="360"/>
      </w:pPr>
      <w:rPr>
        <w:rFonts w:ascii="Symbol" w:hAnsi="Symbol" w:hint="default"/>
      </w:rPr>
    </w:lvl>
  </w:abstractNum>
  <w:abstractNum w:abstractNumId="10">
    <w:nsid w:val="1056792B"/>
    <w:multiLevelType w:val="hybridMultilevel"/>
    <w:tmpl w:val="7DD850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4955EC8"/>
    <w:multiLevelType w:val="hybridMultilevel"/>
    <w:tmpl w:val="5DC49C86"/>
    <w:lvl w:ilvl="0" w:tplc="28D84F32">
      <w:start w:val="1"/>
      <w:numFmt w:val="decimal"/>
      <w:lvlText w:val="1.4.2.%1"/>
      <w:lvlJc w:val="left"/>
      <w:pPr>
        <w:ind w:left="720" w:hanging="360"/>
      </w:pPr>
      <w:rPr>
        <w:rFonts w:ascii="Calibri" w:eastAsia="Times New Roman" w:hAnsi="Calibri" w:cs="Times New Roman"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165A1D70"/>
    <w:multiLevelType w:val="hybridMultilevel"/>
    <w:tmpl w:val="1F88E818"/>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88972CA"/>
    <w:multiLevelType w:val="singleLevel"/>
    <w:tmpl w:val="29C4BDE8"/>
    <w:lvl w:ilvl="0">
      <w:start w:val="1"/>
      <w:numFmt w:val="decimal"/>
      <w:lvlText w:val="2.4.%1"/>
      <w:lvlJc w:val="left"/>
      <w:pPr>
        <w:ind w:left="720" w:hanging="360"/>
      </w:pPr>
      <w:rPr>
        <w:rFonts w:hint="default"/>
      </w:rPr>
    </w:lvl>
  </w:abstractNum>
  <w:abstractNum w:abstractNumId="14">
    <w:nsid w:val="1DFC064B"/>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15">
    <w:nsid w:val="2200109C"/>
    <w:multiLevelType w:val="hybridMultilevel"/>
    <w:tmpl w:val="ED3A5940"/>
    <w:lvl w:ilvl="0" w:tplc="0C0A000F">
      <w:start w:val="1"/>
      <w:numFmt w:val="decimal"/>
      <w:lvlText w:val="%1."/>
      <w:lvlJc w:val="left"/>
      <w:pPr>
        <w:ind w:left="778" w:hanging="360"/>
      </w:pPr>
    </w:lvl>
    <w:lvl w:ilvl="1" w:tplc="0C0A0019" w:tentative="1">
      <w:start w:val="1"/>
      <w:numFmt w:val="lowerLetter"/>
      <w:lvlText w:val="%2."/>
      <w:lvlJc w:val="left"/>
      <w:pPr>
        <w:ind w:left="1498" w:hanging="360"/>
      </w:pPr>
    </w:lvl>
    <w:lvl w:ilvl="2" w:tplc="0C0A001B" w:tentative="1">
      <w:start w:val="1"/>
      <w:numFmt w:val="lowerRoman"/>
      <w:lvlText w:val="%3."/>
      <w:lvlJc w:val="right"/>
      <w:pPr>
        <w:ind w:left="2218" w:hanging="180"/>
      </w:pPr>
    </w:lvl>
    <w:lvl w:ilvl="3" w:tplc="0C0A000F" w:tentative="1">
      <w:start w:val="1"/>
      <w:numFmt w:val="decimal"/>
      <w:lvlText w:val="%4."/>
      <w:lvlJc w:val="left"/>
      <w:pPr>
        <w:ind w:left="2938" w:hanging="360"/>
      </w:pPr>
    </w:lvl>
    <w:lvl w:ilvl="4" w:tplc="0C0A0019" w:tentative="1">
      <w:start w:val="1"/>
      <w:numFmt w:val="lowerLetter"/>
      <w:lvlText w:val="%5."/>
      <w:lvlJc w:val="left"/>
      <w:pPr>
        <w:ind w:left="3658" w:hanging="360"/>
      </w:pPr>
    </w:lvl>
    <w:lvl w:ilvl="5" w:tplc="0C0A001B" w:tentative="1">
      <w:start w:val="1"/>
      <w:numFmt w:val="lowerRoman"/>
      <w:lvlText w:val="%6."/>
      <w:lvlJc w:val="right"/>
      <w:pPr>
        <w:ind w:left="4378" w:hanging="180"/>
      </w:pPr>
    </w:lvl>
    <w:lvl w:ilvl="6" w:tplc="0C0A000F" w:tentative="1">
      <w:start w:val="1"/>
      <w:numFmt w:val="decimal"/>
      <w:lvlText w:val="%7."/>
      <w:lvlJc w:val="left"/>
      <w:pPr>
        <w:ind w:left="5098" w:hanging="360"/>
      </w:pPr>
    </w:lvl>
    <w:lvl w:ilvl="7" w:tplc="0C0A0019" w:tentative="1">
      <w:start w:val="1"/>
      <w:numFmt w:val="lowerLetter"/>
      <w:lvlText w:val="%8."/>
      <w:lvlJc w:val="left"/>
      <w:pPr>
        <w:ind w:left="5818" w:hanging="360"/>
      </w:pPr>
    </w:lvl>
    <w:lvl w:ilvl="8" w:tplc="0C0A001B" w:tentative="1">
      <w:start w:val="1"/>
      <w:numFmt w:val="lowerRoman"/>
      <w:lvlText w:val="%9."/>
      <w:lvlJc w:val="right"/>
      <w:pPr>
        <w:ind w:left="6538" w:hanging="180"/>
      </w:pPr>
    </w:lvl>
  </w:abstractNum>
  <w:abstractNum w:abstractNumId="16">
    <w:nsid w:val="274841B3"/>
    <w:multiLevelType w:val="singleLevel"/>
    <w:tmpl w:val="67905FEC"/>
    <w:lvl w:ilvl="0">
      <w:start w:val="1"/>
      <w:numFmt w:val="none"/>
      <w:lvlText w:val=""/>
      <w:legacy w:legacy="1" w:legacySpace="120" w:legacyIndent="360"/>
      <w:lvlJc w:val="left"/>
      <w:pPr>
        <w:ind w:left="2130" w:hanging="360"/>
      </w:pPr>
      <w:rPr>
        <w:rFonts w:ascii="Symbol" w:hAnsi="Symbol" w:hint="default"/>
      </w:rPr>
    </w:lvl>
  </w:abstractNum>
  <w:abstractNum w:abstractNumId="17">
    <w:nsid w:val="2AEB3F19"/>
    <w:multiLevelType w:val="singleLevel"/>
    <w:tmpl w:val="67905FEC"/>
    <w:lvl w:ilvl="0">
      <w:start w:val="1"/>
      <w:numFmt w:val="none"/>
      <w:lvlText w:val=""/>
      <w:legacy w:legacy="1" w:legacySpace="120" w:legacyIndent="360"/>
      <w:lvlJc w:val="left"/>
      <w:pPr>
        <w:ind w:left="1080" w:hanging="360"/>
      </w:pPr>
      <w:rPr>
        <w:rFonts w:ascii="Symbol" w:hAnsi="Symbol" w:hint="default"/>
      </w:rPr>
    </w:lvl>
  </w:abstractNum>
  <w:abstractNum w:abstractNumId="18">
    <w:nsid w:val="2B010E8A"/>
    <w:multiLevelType w:val="singleLevel"/>
    <w:tmpl w:val="67905FEC"/>
    <w:lvl w:ilvl="0">
      <w:start w:val="1"/>
      <w:numFmt w:val="none"/>
      <w:lvlText w:val=""/>
      <w:legacy w:legacy="1" w:legacySpace="120" w:legacyIndent="360"/>
      <w:lvlJc w:val="left"/>
      <w:pPr>
        <w:ind w:left="1890" w:hanging="360"/>
      </w:pPr>
      <w:rPr>
        <w:rFonts w:ascii="Symbol" w:hAnsi="Symbol" w:hint="default"/>
      </w:rPr>
    </w:lvl>
  </w:abstractNum>
  <w:abstractNum w:abstractNumId="19">
    <w:nsid w:val="342D548B"/>
    <w:multiLevelType w:val="singleLevel"/>
    <w:tmpl w:val="67905FEC"/>
    <w:lvl w:ilvl="0">
      <w:start w:val="1"/>
      <w:numFmt w:val="none"/>
      <w:lvlText w:val=""/>
      <w:legacy w:legacy="1" w:legacySpace="120" w:legacyIndent="360"/>
      <w:lvlJc w:val="left"/>
      <w:pPr>
        <w:ind w:left="2160" w:hanging="360"/>
      </w:pPr>
      <w:rPr>
        <w:rFonts w:ascii="Symbol" w:hAnsi="Symbol" w:hint="default"/>
      </w:rPr>
    </w:lvl>
  </w:abstractNum>
  <w:abstractNum w:abstractNumId="20">
    <w:nsid w:val="34416AD8"/>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21">
    <w:nsid w:val="348A615F"/>
    <w:multiLevelType w:val="hybridMultilevel"/>
    <w:tmpl w:val="D29E8E8E"/>
    <w:lvl w:ilvl="0" w:tplc="A0A0BFDC">
      <w:start w:val="1"/>
      <w:numFmt w:val="decimal"/>
      <w:lvlText w:val="1.1.2.%1"/>
      <w:lvlJc w:val="left"/>
      <w:pPr>
        <w:ind w:left="2203" w:hanging="360"/>
      </w:pPr>
      <w:rPr>
        <w:rFonts w:ascii="Calibri" w:eastAsia="Times New Roman" w:hAnsi="Calibri" w:cs="Times New Roman" w:hint="default"/>
      </w:rPr>
    </w:lvl>
    <w:lvl w:ilvl="1" w:tplc="240A0019" w:tentative="1">
      <w:start w:val="1"/>
      <w:numFmt w:val="lowerLetter"/>
      <w:lvlText w:val="%2."/>
      <w:lvlJc w:val="left"/>
      <w:pPr>
        <w:ind w:left="2923" w:hanging="360"/>
      </w:pPr>
    </w:lvl>
    <w:lvl w:ilvl="2" w:tplc="240A001B" w:tentative="1">
      <w:start w:val="1"/>
      <w:numFmt w:val="lowerRoman"/>
      <w:lvlText w:val="%3."/>
      <w:lvlJc w:val="right"/>
      <w:pPr>
        <w:ind w:left="3643" w:hanging="180"/>
      </w:pPr>
    </w:lvl>
    <w:lvl w:ilvl="3" w:tplc="240A000F" w:tentative="1">
      <w:start w:val="1"/>
      <w:numFmt w:val="decimal"/>
      <w:lvlText w:val="%4."/>
      <w:lvlJc w:val="left"/>
      <w:pPr>
        <w:ind w:left="4363" w:hanging="360"/>
      </w:pPr>
    </w:lvl>
    <w:lvl w:ilvl="4" w:tplc="240A0019" w:tentative="1">
      <w:start w:val="1"/>
      <w:numFmt w:val="lowerLetter"/>
      <w:lvlText w:val="%5."/>
      <w:lvlJc w:val="left"/>
      <w:pPr>
        <w:ind w:left="5083" w:hanging="360"/>
      </w:pPr>
    </w:lvl>
    <w:lvl w:ilvl="5" w:tplc="240A001B" w:tentative="1">
      <w:start w:val="1"/>
      <w:numFmt w:val="lowerRoman"/>
      <w:lvlText w:val="%6."/>
      <w:lvlJc w:val="right"/>
      <w:pPr>
        <w:ind w:left="5803" w:hanging="180"/>
      </w:pPr>
    </w:lvl>
    <w:lvl w:ilvl="6" w:tplc="240A000F" w:tentative="1">
      <w:start w:val="1"/>
      <w:numFmt w:val="decimal"/>
      <w:lvlText w:val="%7."/>
      <w:lvlJc w:val="left"/>
      <w:pPr>
        <w:ind w:left="6523" w:hanging="360"/>
      </w:pPr>
    </w:lvl>
    <w:lvl w:ilvl="7" w:tplc="240A0019" w:tentative="1">
      <w:start w:val="1"/>
      <w:numFmt w:val="lowerLetter"/>
      <w:lvlText w:val="%8."/>
      <w:lvlJc w:val="left"/>
      <w:pPr>
        <w:ind w:left="7243" w:hanging="360"/>
      </w:pPr>
    </w:lvl>
    <w:lvl w:ilvl="8" w:tplc="240A001B" w:tentative="1">
      <w:start w:val="1"/>
      <w:numFmt w:val="lowerRoman"/>
      <w:lvlText w:val="%9."/>
      <w:lvlJc w:val="right"/>
      <w:pPr>
        <w:ind w:left="7963" w:hanging="180"/>
      </w:pPr>
    </w:lvl>
  </w:abstractNum>
  <w:abstractNum w:abstractNumId="22">
    <w:nsid w:val="37AA3783"/>
    <w:multiLevelType w:val="hybridMultilevel"/>
    <w:tmpl w:val="991063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37BC77FD"/>
    <w:multiLevelType w:val="hybridMultilevel"/>
    <w:tmpl w:val="5B8ECCDE"/>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E6F5D64"/>
    <w:multiLevelType w:val="hybridMultilevel"/>
    <w:tmpl w:val="2B9698EC"/>
    <w:lvl w:ilvl="0" w:tplc="374CB44C">
      <w:start w:val="1"/>
      <w:numFmt w:val="decimal"/>
      <w:lvlText w:val="2.1.%1"/>
      <w:lvlJc w:val="left"/>
      <w:pPr>
        <w:ind w:left="2203" w:hanging="360"/>
      </w:pPr>
      <w:rPr>
        <w:rFonts w:ascii="Calibri" w:eastAsia="Times New Roman" w:hAnsi="Calibri"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407F7904"/>
    <w:multiLevelType w:val="singleLevel"/>
    <w:tmpl w:val="67905FEC"/>
    <w:lvl w:ilvl="0">
      <w:start w:val="1"/>
      <w:numFmt w:val="none"/>
      <w:lvlText w:val=""/>
      <w:legacy w:legacy="1" w:legacySpace="120" w:legacyIndent="360"/>
      <w:lvlJc w:val="left"/>
      <w:pPr>
        <w:ind w:left="1080" w:hanging="360"/>
      </w:pPr>
      <w:rPr>
        <w:rFonts w:ascii="Symbol" w:hAnsi="Symbol" w:hint="default"/>
      </w:rPr>
    </w:lvl>
  </w:abstractNum>
  <w:abstractNum w:abstractNumId="26">
    <w:nsid w:val="435B4650"/>
    <w:multiLevelType w:val="singleLevel"/>
    <w:tmpl w:val="F6967978"/>
    <w:lvl w:ilvl="0">
      <w:start w:val="1"/>
      <w:numFmt w:val="decimal"/>
      <w:lvlText w:val="2.3.%1"/>
      <w:lvlJc w:val="left"/>
      <w:pPr>
        <w:ind w:left="660" w:hanging="360"/>
      </w:pPr>
      <w:rPr>
        <w:rFonts w:hint="default"/>
      </w:rPr>
    </w:lvl>
  </w:abstractNum>
  <w:abstractNum w:abstractNumId="27">
    <w:nsid w:val="4B571C42"/>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28">
    <w:nsid w:val="4BB17FBD"/>
    <w:multiLevelType w:val="hybridMultilevel"/>
    <w:tmpl w:val="B7FCC94C"/>
    <w:lvl w:ilvl="0" w:tplc="45A2A6BA">
      <w:start w:val="1"/>
      <w:numFmt w:val="decimal"/>
      <w:lvlText w:val="1.2.%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4ECD5318"/>
    <w:multiLevelType w:val="singleLevel"/>
    <w:tmpl w:val="5614A44E"/>
    <w:lvl w:ilvl="0">
      <w:start w:val="1"/>
      <w:numFmt w:val="decimal"/>
      <w:lvlText w:val="1.1.%1"/>
      <w:lvlJc w:val="left"/>
      <w:pPr>
        <w:ind w:left="720" w:hanging="360"/>
      </w:pPr>
      <w:rPr>
        <w:rFonts w:hint="default"/>
      </w:rPr>
    </w:lvl>
  </w:abstractNum>
  <w:abstractNum w:abstractNumId="30">
    <w:nsid w:val="500933A0"/>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31">
    <w:nsid w:val="52136F95"/>
    <w:multiLevelType w:val="multilevel"/>
    <w:tmpl w:val="1A0811BE"/>
    <w:lvl w:ilvl="0">
      <w:start w:val="1"/>
      <w:numFmt w:val="decimal"/>
      <w:lvlText w:val="1.3.%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52AE12C2"/>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33">
    <w:nsid w:val="534C5C28"/>
    <w:multiLevelType w:val="hybridMultilevel"/>
    <w:tmpl w:val="45EE4C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577A33F0"/>
    <w:multiLevelType w:val="singleLevel"/>
    <w:tmpl w:val="67905FEC"/>
    <w:lvl w:ilvl="0">
      <w:start w:val="1"/>
      <w:numFmt w:val="none"/>
      <w:lvlText w:val=""/>
      <w:legacy w:legacy="1" w:legacySpace="120" w:legacyIndent="360"/>
      <w:lvlJc w:val="left"/>
      <w:pPr>
        <w:ind w:left="2130" w:hanging="360"/>
      </w:pPr>
      <w:rPr>
        <w:rFonts w:ascii="Symbol" w:hAnsi="Symbol" w:hint="default"/>
      </w:rPr>
    </w:lvl>
  </w:abstractNum>
  <w:abstractNum w:abstractNumId="35">
    <w:nsid w:val="632C4CB0"/>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36">
    <w:nsid w:val="65F110C4"/>
    <w:multiLevelType w:val="multilevel"/>
    <w:tmpl w:val="82BA9FCE"/>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7">
    <w:nsid w:val="66146D32"/>
    <w:multiLevelType w:val="singleLevel"/>
    <w:tmpl w:val="67905FEC"/>
    <w:lvl w:ilvl="0">
      <w:start w:val="1"/>
      <w:numFmt w:val="none"/>
      <w:lvlText w:val=""/>
      <w:legacy w:legacy="1" w:legacySpace="120" w:legacyIndent="360"/>
      <w:lvlJc w:val="left"/>
      <w:pPr>
        <w:ind w:left="1080" w:hanging="360"/>
      </w:pPr>
      <w:rPr>
        <w:rFonts w:ascii="Symbol" w:hAnsi="Symbol" w:hint="default"/>
      </w:rPr>
    </w:lvl>
  </w:abstractNum>
  <w:abstractNum w:abstractNumId="38">
    <w:nsid w:val="669829C7"/>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39">
    <w:nsid w:val="67A85EBC"/>
    <w:multiLevelType w:val="hybridMultilevel"/>
    <w:tmpl w:val="5C94F1E0"/>
    <w:lvl w:ilvl="0" w:tplc="3918AF04">
      <w:start w:val="1"/>
      <w:numFmt w:val="decimal"/>
      <w:lvlText w:val="1.4.%1"/>
      <w:lvlJc w:val="left"/>
      <w:pPr>
        <w:ind w:left="144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68862BA8"/>
    <w:multiLevelType w:val="hybridMultilevel"/>
    <w:tmpl w:val="30989CB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68E27947"/>
    <w:multiLevelType w:val="hybridMultilevel"/>
    <w:tmpl w:val="51F0BE86"/>
    <w:lvl w:ilvl="0" w:tplc="3E4EA7DC">
      <w:start w:val="1"/>
      <w:numFmt w:val="decimal"/>
      <w:lvlText w:val="2.2.2.%1"/>
      <w:lvlJc w:val="left"/>
      <w:pPr>
        <w:ind w:left="720" w:hanging="360"/>
      </w:pPr>
      <w:rPr>
        <w:rFonts w:ascii="Calibri" w:eastAsia="Times New Roman" w:hAnsi="Calibri"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nsid w:val="6C8C7612"/>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43">
    <w:nsid w:val="6EC00779"/>
    <w:multiLevelType w:val="hybridMultilevel"/>
    <w:tmpl w:val="CC3824B0"/>
    <w:lvl w:ilvl="0" w:tplc="0EC85B5E">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nsid w:val="7218514E"/>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45">
    <w:nsid w:val="726F661E"/>
    <w:multiLevelType w:val="singleLevel"/>
    <w:tmpl w:val="26F04806"/>
    <w:lvl w:ilvl="0">
      <w:start w:val="1"/>
      <w:numFmt w:val="decimal"/>
      <w:lvlText w:val="1.3.3.%1"/>
      <w:lvlJc w:val="left"/>
      <w:pPr>
        <w:ind w:left="1440" w:hanging="360"/>
      </w:pPr>
      <w:rPr>
        <w:rFonts w:hint="default"/>
      </w:rPr>
    </w:lvl>
  </w:abstractNum>
  <w:abstractNum w:abstractNumId="46">
    <w:nsid w:val="747C07DC"/>
    <w:multiLevelType w:val="singleLevel"/>
    <w:tmpl w:val="67905FEC"/>
    <w:lvl w:ilvl="0">
      <w:start w:val="1"/>
      <w:numFmt w:val="none"/>
      <w:lvlText w:val=""/>
      <w:legacy w:legacy="1" w:legacySpace="120" w:legacyIndent="360"/>
      <w:lvlJc w:val="left"/>
      <w:pPr>
        <w:ind w:left="1425" w:hanging="360"/>
      </w:pPr>
      <w:rPr>
        <w:rFonts w:ascii="Symbol" w:hAnsi="Symbol" w:hint="default"/>
      </w:rPr>
    </w:lvl>
  </w:abstractNum>
  <w:abstractNum w:abstractNumId="47">
    <w:nsid w:val="7C6A34AB"/>
    <w:multiLevelType w:val="hybridMultilevel"/>
    <w:tmpl w:val="6BD690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nsid w:val="7D416B32"/>
    <w:multiLevelType w:val="hybridMultilevel"/>
    <w:tmpl w:val="DF24F9B4"/>
    <w:lvl w:ilvl="0" w:tplc="08DC54F2">
      <w:start w:val="1"/>
      <w:numFmt w:val="decimal"/>
      <w:lvlText w:val="%1."/>
      <w:lvlJc w:val="left"/>
      <w:pPr>
        <w:ind w:left="720" w:hanging="360"/>
      </w:pPr>
      <w:rPr>
        <w:rFonts w:asciiTheme="minorHAnsi" w:hAnsiTheme="minorHAnsi" w:cstheme="minorHAnsi" w:hint="default"/>
        <w:b w:val="0"/>
        <w:sz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nsid w:val="7DDF2C32"/>
    <w:multiLevelType w:val="hybridMultilevel"/>
    <w:tmpl w:val="87AC32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3"/>
  </w:num>
  <w:num w:numId="2">
    <w:abstractNumId w:val="49"/>
  </w:num>
  <w:num w:numId="3">
    <w:abstractNumId w:val="22"/>
  </w:num>
  <w:num w:numId="4">
    <w:abstractNumId w:val="15"/>
  </w:num>
  <w:num w:numId="5">
    <w:abstractNumId w:val="33"/>
  </w:num>
  <w:num w:numId="6">
    <w:abstractNumId w:val="12"/>
  </w:num>
  <w:num w:numId="7">
    <w:abstractNumId w:val="23"/>
  </w:num>
  <w:num w:numId="8">
    <w:abstractNumId w:val="3"/>
  </w:num>
  <w:num w:numId="9">
    <w:abstractNumId w:val="48"/>
  </w:num>
  <w:num w:numId="10">
    <w:abstractNumId w:val="29"/>
  </w:num>
  <w:num w:numId="11">
    <w:abstractNumId w:val="31"/>
  </w:num>
  <w:num w:numId="12">
    <w:abstractNumId w:val="45"/>
  </w:num>
  <w:num w:numId="13">
    <w:abstractNumId w:val="18"/>
  </w:num>
  <w:num w:numId="14">
    <w:abstractNumId w:val="16"/>
  </w:num>
  <w:num w:numId="15">
    <w:abstractNumId w:val="5"/>
  </w:num>
  <w:num w:numId="16">
    <w:abstractNumId w:val="34"/>
  </w:num>
  <w:num w:numId="17">
    <w:abstractNumId w:val="19"/>
  </w:num>
  <w:num w:numId="18">
    <w:abstractNumId w:val="2"/>
  </w:num>
  <w:num w:numId="19">
    <w:abstractNumId w:val="28"/>
  </w:num>
  <w:num w:numId="20">
    <w:abstractNumId w:val="36"/>
  </w:num>
  <w:num w:numId="21">
    <w:abstractNumId w:val="39"/>
  </w:num>
  <w:num w:numId="22">
    <w:abstractNumId w:val="11"/>
  </w:num>
  <w:num w:numId="23">
    <w:abstractNumId w:val="21"/>
  </w:num>
  <w:num w:numId="24">
    <w:abstractNumId w:val="10"/>
  </w:num>
  <w:num w:numId="25">
    <w:abstractNumId w:val="37"/>
  </w:num>
  <w:num w:numId="26">
    <w:abstractNumId w:val="17"/>
  </w:num>
  <w:num w:numId="27">
    <w:abstractNumId w:val="4"/>
  </w:num>
  <w:num w:numId="28">
    <w:abstractNumId w:val="9"/>
  </w:num>
  <w:num w:numId="29">
    <w:abstractNumId w:val="25"/>
  </w:num>
  <w:num w:numId="30">
    <w:abstractNumId w:val="20"/>
  </w:num>
  <w:num w:numId="31">
    <w:abstractNumId w:val="46"/>
  </w:num>
  <w:num w:numId="32">
    <w:abstractNumId w:val="38"/>
  </w:num>
  <w:num w:numId="33">
    <w:abstractNumId w:val="35"/>
  </w:num>
  <w:num w:numId="34">
    <w:abstractNumId w:val="44"/>
  </w:num>
  <w:num w:numId="35">
    <w:abstractNumId w:val="1"/>
  </w:num>
  <w:num w:numId="36">
    <w:abstractNumId w:val="14"/>
  </w:num>
  <w:num w:numId="37">
    <w:abstractNumId w:val="42"/>
  </w:num>
  <w:num w:numId="38">
    <w:abstractNumId w:val="32"/>
  </w:num>
  <w:num w:numId="39">
    <w:abstractNumId w:val="8"/>
  </w:num>
  <w:num w:numId="40">
    <w:abstractNumId w:val="30"/>
  </w:num>
  <w:num w:numId="41">
    <w:abstractNumId w:val="7"/>
  </w:num>
  <w:num w:numId="42">
    <w:abstractNumId w:val="6"/>
  </w:num>
  <w:num w:numId="43">
    <w:abstractNumId w:val="27"/>
  </w:num>
  <w:num w:numId="44">
    <w:abstractNumId w:val="26"/>
  </w:num>
  <w:num w:numId="45">
    <w:abstractNumId w:val="13"/>
  </w:num>
  <w:num w:numId="46">
    <w:abstractNumId w:val="24"/>
  </w:num>
  <w:num w:numId="47">
    <w:abstractNumId w:val="0"/>
  </w:num>
  <w:num w:numId="48">
    <w:abstractNumId w:val="41"/>
  </w:num>
  <w:num w:numId="49">
    <w:abstractNumId w:val="47"/>
  </w:num>
  <w:num w:numId="50">
    <w:abstractNumId w:val="4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1E8"/>
    <w:rsid w:val="00044496"/>
    <w:rsid w:val="000B758A"/>
    <w:rsid w:val="000E0199"/>
    <w:rsid w:val="000E4362"/>
    <w:rsid w:val="00125CE1"/>
    <w:rsid w:val="00143FD3"/>
    <w:rsid w:val="0016212A"/>
    <w:rsid w:val="001A6D9A"/>
    <w:rsid w:val="001D23A2"/>
    <w:rsid w:val="001E04BF"/>
    <w:rsid w:val="001E70B4"/>
    <w:rsid w:val="0021389B"/>
    <w:rsid w:val="00271CCF"/>
    <w:rsid w:val="002829BE"/>
    <w:rsid w:val="00283FB7"/>
    <w:rsid w:val="002B08EA"/>
    <w:rsid w:val="002B13A8"/>
    <w:rsid w:val="002B37A7"/>
    <w:rsid w:val="002C5E6A"/>
    <w:rsid w:val="002E482A"/>
    <w:rsid w:val="002F073C"/>
    <w:rsid w:val="002F7A8A"/>
    <w:rsid w:val="003331D5"/>
    <w:rsid w:val="003809B6"/>
    <w:rsid w:val="003950B3"/>
    <w:rsid w:val="003B7CAF"/>
    <w:rsid w:val="003C2760"/>
    <w:rsid w:val="003F5723"/>
    <w:rsid w:val="003F71E8"/>
    <w:rsid w:val="004019C6"/>
    <w:rsid w:val="004021B6"/>
    <w:rsid w:val="0041138D"/>
    <w:rsid w:val="004362B8"/>
    <w:rsid w:val="00460422"/>
    <w:rsid w:val="00482F4A"/>
    <w:rsid w:val="004A0191"/>
    <w:rsid w:val="004D22B7"/>
    <w:rsid w:val="004D2D1E"/>
    <w:rsid w:val="004D5333"/>
    <w:rsid w:val="004E29CB"/>
    <w:rsid w:val="00523B3D"/>
    <w:rsid w:val="005430FB"/>
    <w:rsid w:val="00543F14"/>
    <w:rsid w:val="00565278"/>
    <w:rsid w:val="005728EC"/>
    <w:rsid w:val="00575CDE"/>
    <w:rsid w:val="0058283C"/>
    <w:rsid w:val="005B0602"/>
    <w:rsid w:val="005B734A"/>
    <w:rsid w:val="005C4B80"/>
    <w:rsid w:val="005E0399"/>
    <w:rsid w:val="005E14B8"/>
    <w:rsid w:val="00605CFA"/>
    <w:rsid w:val="00606ED2"/>
    <w:rsid w:val="00607700"/>
    <w:rsid w:val="00617827"/>
    <w:rsid w:val="00622FCF"/>
    <w:rsid w:val="00625AE0"/>
    <w:rsid w:val="00630EFB"/>
    <w:rsid w:val="0063288E"/>
    <w:rsid w:val="00634DE9"/>
    <w:rsid w:val="00635247"/>
    <w:rsid w:val="00637CCD"/>
    <w:rsid w:val="006429C7"/>
    <w:rsid w:val="00646C76"/>
    <w:rsid w:val="006513EE"/>
    <w:rsid w:val="0067135A"/>
    <w:rsid w:val="00675EDD"/>
    <w:rsid w:val="00677977"/>
    <w:rsid w:val="00680E14"/>
    <w:rsid w:val="006C2BAE"/>
    <w:rsid w:val="006C3E5F"/>
    <w:rsid w:val="006E5A5C"/>
    <w:rsid w:val="006E7B49"/>
    <w:rsid w:val="006F235F"/>
    <w:rsid w:val="006F36F7"/>
    <w:rsid w:val="00747214"/>
    <w:rsid w:val="007A1B55"/>
    <w:rsid w:val="007B7E22"/>
    <w:rsid w:val="007F14E8"/>
    <w:rsid w:val="008063C1"/>
    <w:rsid w:val="00827D0F"/>
    <w:rsid w:val="008436B6"/>
    <w:rsid w:val="00853A52"/>
    <w:rsid w:val="00863E60"/>
    <w:rsid w:val="00864164"/>
    <w:rsid w:val="008708F8"/>
    <w:rsid w:val="008B681D"/>
    <w:rsid w:val="008D0798"/>
    <w:rsid w:val="008D4F29"/>
    <w:rsid w:val="00900F76"/>
    <w:rsid w:val="009530D0"/>
    <w:rsid w:val="00957A94"/>
    <w:rsid w:val="00983010"/>
    <w:rsid w:val="009B7286"/>
    <w:rsid w:val="009D1EEA"/>
    <w:rsid w:val="009E104C"/>
    <w:rsid w:val="009E1922"/>
    <w:rsid w:val="009F085D"/>
    <w:rsid w:val="009F5087"/>
    <w:rsid w:val="00A2100B"/>
    <w:rsid w:val="00A21BCE"/>
    <w:rsid w:val="00A27B08"/>
    <w:rsid w:val="00A362A0"/>
    <w:rsid w:val="00A450AC"/>
    <w:rsid w:val="00A579CB"/>
    <w:rsid w:val="00A6395E"/>
    <w:rsid w:val="00A654CC"/>
    <w:rsid w:val="00A934A1"/>
    <w:rsid w:val="00AA3407"/>
    <w:rsid w:val="00AC34A7"/>
    <w:rsid w:val="00B243A2"/>
    <w:rsid w:val="00B356AE"/>
    <w:rsid w:val="00BA2D61"/>
    <w:rsid w:val="00BC3154"/>
    <w:rsid w:val="00BE3F4E"/>
    <w:rsid w:val="00BE58A6"/>
    <w:rsid w:val="00BF2BBD"/>
    <w:rsid w:val="00C34DEF"/>
    <w:rsid w:val="00C60974"/>
    <w:rsid w:val="00C71987"/>
    <w:rsid w:val="00C81D82"/>
    <w:rsid w:val="00CB7BBE"/>
    <w:rsid w:val="00CE7C29"/>
    <w:rsid w:val="00D37B57"/>
    <w:rsid w:val="00D639F4"/>
    <w:rsid w:val="00D84DBC"/>
    <w:rsid w:val="00D9045F"/>
    <w:rsid w:val="00DB1C8E"/>
    <w:rsid w:val="00DC389B"/>
    <w:rsid w:val="00DE08D9"/>
    <w:rsid w:val="00DE21D7"/>
    <w:rsid w:val="00DF5D42"/>
    <w:rsid w:val="00E0404C"/>
    <w:rsid w:val="00E1267C"/>
    <w:rsid w:val="00E322E8"/>
    <w:rsid w:val="00E510C3"/>
    <w:rsid w:val="00E67038"/>
    <w:rsid w:val="00E90A32"/>
    <w:rsid w:val="00E95285"/>
    <w:rsid w:val="00EB5025"/>
    <w:rsid w:val="00EB5EDA"/>
    <w:rsid w:val="00EB681F"/>
    <w:rsid w:val="00EC422F"/>
    <w:rsid w:val="00EC471A"/>
    <w:rsid w:val="00EE2CAC"/>
    <w:rsid w:val="00F07F7B"/>
    <w:rsid w:val="00F10A59"/>
    <w:rsid w:val="00F149B7"/>
    <w:rsid w:val="00F16119"/>
    <w:rsid w:val="00F307CE"/>
    <w:rsid w:val="00F37630"/>
    <w:rsid w:val="00F70C2A"/>
    <w:rsid w:val="00F80CAA"/>
    <w:rsid w:val="00F8318C"/>
    <w:rsid w:val="00F84F51"/>
    <w:rsid w:val="00F92A5A"/>
    <w:rsid w:val="00F9515E"/>
    <w:rsid w:val="00F95F43"/>
    <w:rsid w:val="00FA17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827DB5-57F0-4CC3-99EF-1B5691F77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semiHidden/>
    <w:unhideWhenUsed/>
    <w:rsid w:val="00B243A2"/>
    <w:pPr>
      <w:tabs>
        <w:tab w:val="center" w:pos="4252"/>
        <w:tab w:val="right" w:pos="8504"/>
      </w:tabs>
    </w:pPr>
  </w:style>
  <w:style w:type="character" w:customStyle="1" w:styleId="EncabezadoCar">
    <w:name w:val="Encabezado Car"/>
    <w:basedOn w:val="Fuentedeprrafopredeter"/>
    <w:link w:val="Encabezado"/>
    <w:uiPriority w:val="99"/>
    <w:semiHidden/>
    <w:rsid w:val="00B243A2"/>
    <w:rPr>
      <w:rFonts w:ascii="Times New Roman" w:eastAsia="Times New Roman" w:hAnsi="Times New Roman" w:cs="Times New Roman"/>
      <w:sz w:val="24"/>
      <w:szCs w:val="24"/>
      <w:lang w:val="fr-FR" w:eastAsia="fr-FR"/>
    </w:rPr>
  </w:style>
  <w:style w:type="paragraph" w:styleId="Sangradetextonormal">
    <w:name w:val="Body Text Indent"/>
    <w:basedOn w:val="Normal"/>
    <w:link w:val="SangradetextonormalCar"/>
    <w:uiPriority w:val="99"/>
    <w:unhideWhenUsed/>
    <w:rsid w:val="00DE21D7"/>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uiPriority w:val="99"/>
    <w:rsid w:val="00DE21D7"/>
    <w:rPr>
      <w:rFonts w:ascii="Calibri" w:eastAsia="Calibri" w:hAnsi="Calibri" w:cs="Times New Roman"/>
      <w:lang w:val="es-ES"/>
    </w:rPr>
  </w:style>
  <w:style w:type="paragraph" w:styleId="Prrafodelista">
    <w:name w:val="List Paragraph"/>
    <w:basedOn w:val="Normal"/>
    <w:uiPriority w:val="34"/>
    <w:qFormat/>
    <w:rsid w:val="00DE21D7"/>
    <w:pPr>
      <w:ind w:left="720"/>
      <w:contextualSpacing/>
    </w:pPr>
  </w:style>
  <w:style w:type="paragraph" w:customStyle="1" w:styleId="style69">
    <w:name w:val="style69"/>
    <w:basedOn w:val="Normal"/>
    <w:rsid w:val="00853A52"/>
    <w:pPr>
      <w:spacing w:before="100" w:beforeAutospacing="1" w:after="100" w:afterAutospacing="1"/>
    </w:pPr>
    <w:rPr>
      <w:b/>
      <w:bCs/>
      <w:color w:val="000000"/>
      <w:lang w:val="es-ES" w:eastAsia="es-ES"/>
    </w:rPr>
  </w:style>
  <w:style w:type="paragraph" w:styleId="NormalWeb">
    <w:name w:val="Normal (Web)"/>
    <w:basedOn w:val="Normal"/>
    <w:semiHidden/>
    <w:unhideWhenUsed/>
    <w:rsid w:val="00853A52"/>
    <w:pPr>
      <w:spacing w:before="100" w:beforeAutospacing="1" w:after="100" w:afterAutospacing="1"/>
    </w:pPr>
    <w:rPr>
      <w:lang w:val="es-ES" w:eastAsia="es-ES"/>
    </w:rPr>
  </w:style>
  <w:style w:type="character" w:styleId="Hipervnculo">
    <w:name w:val="Hyperlink"/>
    <w:basedOn w:val="Fuentedeprrafopredeter"/>
    <w:rsid w:val="00DF5D42"/>
    <w:rPr>
      <w:color w:val="0000FF"/>
      <w:u w:val="single"/>
    </w:rPr>
  </w:style>
  <w:style w:type="paragraph" w:styleId="Sinespaciado">
    <w:name w:val="No Spacing"/>
    <w:uiPriority w:val="1"/>
    <w:qFormat/>
    <w:rsid w:val="006C2BAE"/>
    <w:pPr>
      <w:spacing w:before="0" w:beforeAutospacing="0" w:after="0" w:afterAutospacing="0"/>
    </w:pPr>
    <w:rPr>
      <w:rFonts w:ascii="Calibri" w:eastAsia="Calibri" w:hAnsi="Calibri" w:cs="Times New Roman"/>
    </w:rPr>
  </w:style>
  <w:style w:type="character" w:customStyle="1" w:styleId="apple-style-span">
    <w:name w:val="apple-style-span"/>
    <w:basedOn w:val="Fuentedeprrafopredeter"/>
    <w:rsid w:val="004019C6"/>
  </w:style>
  <w:style w:type="character" w:customStyle="1" w:styleId="title-details">
    <w:name w:val="title-details"/>
    <w:basedOn w:val="Fuentedeprrafopredeter"/>
    <w:rsid w:val="00A27B08"/>
  </w:style>
  <w:style w:type="table" w:styleId="Tablaconcuadrcula">
    <w:name w:val="Table Grid"/>
    <w:basedOn w:val="Tablanormal"/>
    <w:uiPriority w:val="59"/>
    <w:rsid w:val="00A27B08"/>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320220">
      <w:bodyDiv w:val="1"/>
      <w:marLeft w:val="0"/>
      <w:marRight w:val="0"/>
      <w:marTop w:val="0"/>
      <w:marBottom w:val="0"/>
      <w:divBdr>
        <w:top w:val="none" w:sz="0" w:space="0" w:color="auto"/>
        <w:left w:val="none" w:sz="0" w:space="0" w:color="auto"/>
        <w:bottom w:val="none" w:sz="0" w:space="0" w:color="auto"/>
        <w:right w:val="none" w:sz="0" w:space="0" w:color="auto"/>
      </w:divBdr>
    </w:div>
    <w:div w:id="724529192">
      <w:bodyDiv w:val="1"/>
      <w:marLeft w:val="0"/>
      <w:marRight w:val="0"/>
      <w:marTop w:val="0"/>
      <w:marBottom w:val="0"/>
      <w:divBdr>
        <w:top w:val="none" w:sz="0" w:space="0" w:color="auto"/>
        <w:left w:val="none" w:sz="0" w:space="0" w:color="auto"/>
        <w:bottom w:val="none" w:sz="0" w:space="0" w:color="auto"/>
        <w:right w:val="none" w:sz="0" w:space="0" w:color="auto"/>
      </w:divBdr>
    </w:div>
    <w:div w:id="1579754292">
      <w:bodyDiv w:val="1"/>
      <w:marLeft w:val="0"/>
      <w:marRight w:val="0"/>
      <w:marTop w:val="0"/>
      <w:marBottom w:val="0"/>
      <w:divBdr>
        <w:top w:val="none" w:sz="0" w:space="0" w:color="auto"/>
        <w:left w:val="none" w:sz="0" w:space="0" w:color="auto"/>
        <w:bottom w:val="none" w:sz="0" w:space="0" w:color="auto"/>
        <w:right w:val="none" w:sz="0" w:space="0" w:color="auto"/>
      </w:divBdr>
    </w:div>
    <w:div w:id="206991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AB088-890D-4A21-87E0-8C59CD900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2670</Words>
  <Characters>14691</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17327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6</cp:revision>
  <dcterms:created xsi:type="dcterms:W3CDTF">2013-09-19T15:36:00Z</dcterms:created>
  <dcterms:modified xsi:type="dcterms:W3CDTF">2015-04-13T20:42:00Z</dcterms:modified>
</cp:coreProperties>
</file>