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</w:rPr>
        <w:drawing>
          <wp:inline distB="0" distT="0" distL="0" distR="0">
            <wp:extent cx="3371197" cy="720000"/>
            <wp:effectExtent b="0" l="0" r="0" t="0"/>
            <wp:docPr descr="Imagen que contiene Texto&#10;&#10;Descripción generada automáticamente" id="33" name="image1.png"/>
            <a:graphic>
              <a:graphicData uri="http://schemas.openxmlformats.org/drawingml/2006/picture">
                <pic:pic>
                  <pic:nvPicPr>
                    <pic:cNvPr descr="Imagen que contiene Texto&#10;&#10;Descripción generada automá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1197" cy="7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Invitación pública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003-2023-C7 y D10.2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para el fortalecimiento y promoción de procesos de eficiencia energética para sectores industriales con alta demanda de energía térmica en Colombia.</w:t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Unidad Académica o Administrativa</w:t>
      </w:r>
      <w:r w:rsidDel="00000000" w:rsidR="00000000" w:rsidRPr="00000000">
        <w:rPr>
          <w:sz w:val="22"/>
          <w:szCs w:val="22"/>
          <w:rtl w:val="0"/>
        </w:rPr>
        <w:t xml:space="preserve">: Vicerrectoría Administrativa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2943"/>
        <w:gridCol w:w="2943"/>
        <w:tblGridChange w:id="0">
          <w:tblGrid>
            <w:gridCol w:w="2942"/>
            <w:gridCol w:w="2943"/>
            <w:gridCol w:w="29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Nombre y cargo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Elaboró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Gabriel Jaime Álvarez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Coordinador del proyecto.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Aprobó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Ramón Javier Mesa Callejas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Vicerrector Administrativo UdeA.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CONTENIDO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8828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ANTECEDENTES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8828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INFORMACIÓN GENERAL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100"/>
              <w:tab w:val="right" w:leader="none" w:pos="8828"/>
            </w:tabs>
            <w:spacing w:after="100" w:before="0" w:line="259" w:lineRule="auto"/>
            <w:ind w:left="360" w:right="0" w:hanging="36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3.1.</w:t>
              <w:tab/>
              <w:t xml:space="preserve">Cronograma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100"/>
              <w:tab w:val="right" w:leader="none" w:pos="8828"/>
            </w:tabs>
            <w:spacing w:after="100" w:before="0" w:line="259" w:lineRule="auto"/>
            <w:ind w:left="360" w:right="0" w:hanging="36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3.2.</w:t>
              <w:tab/>
              <w:t xml:space="preserve">Actividades y entregables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8828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PERFIL MÍNIMO REQUERIDO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100"/>
              <w:tab w:val="right" w:leader="none" w:pos="8828"/>
            </w:tabs>
            <w:spacing w:after="100" w:before="0" w:line="259" w:lineRule="auto"/>
            <w:ind w:left="360" w:right="0" w:hanging="36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4.1.</w:t>
              <w:tab/>
              <w:t xml:space="preserve">Estudios de educación formal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100"/>
              <w:tab w:val="right" w:leader="none" w:pos="8828"/>
            </w:tabs>
            <w:spacing w:after="100" w:before="0" w:line="259" w:lineRule="auto"/>
            <w:ind w:left="360" w:right="0" w:hanging="36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4.2.</w:t>
              <w:tab/>
              <w:t xml:space="preserve">Experiencia relacionada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100"/>
              <w:tab w:val="right" w:leader="none" w:pos="8828"/>
            </w:tabs>
            <w:spacing w:after="100" w:before="0" w:line="259" w:lineRule="auto"/>
            <w:ind w:left="360" w:right="0" w:hanging="36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4.3.</w:t>
              <w:tab/>
              <w:t xml:space="preserve">Otras habilidades y competencias: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8828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CRITERIOS DE CALIFICACIÓN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8828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</w:t>
              <w:tab/>
              <w:t xml:space="preserve">DOCUMENTACIÓN REQUERIDA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8828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</w:t>
              <w:tab/>
              <w:t xml:space="preserve">ORDEN DE ELEGIBILIDAD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8828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</w:t>
              <w:tab/>
              <w:t xml:space="preserve">CRITERIOS DE DESEMPATE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8828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</w:t>
              <w:tab/>
              <w:t xml:space="preserve">CAUSALES DE EXCLUSIÓN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8828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</w:t>
              <w:tab/>
              <w:t xml:space="preserve">DECLARACIÓN PROCESO DESIERTO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8828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</w:t>
              <w:tab/>
              <w:t xml:space="preserve">PROHIBICIONES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6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</w:rPr>
        <w:drawing>
          <wp:inline distB="0" distT="0" distL="0" distR="0">
            <wp:extent cx="3371197" cy="720000"/>
            <wp:effectExtent b="0" l="0" r="0" t="0"/>
            <wp:docPr descr="Imagen que contiene Texto&#10;&#10;Descripción generada automáticamente" id="34" name="image1.png"/>
            <a:graphic>
              <a:graphicData uri="http://schemas.openxmlformats.org/drawingml/2006/picture">
                <pic:pic>
                  <pic:nvPicPr>
                    <pic:cNvPr descr="Imagen que contiene Texto&#10;&#10;Descripción generada automá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1197" cy="7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Invitación pública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003-2023-C7 y D10.2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para el fortalecimiento y promoción de procesos de eficiencia energética para sectores industriales con alta demanda de energía térmica en Colombia.</w:t>
      </w:r>
    </w:p>
    <w:p w:rsidR="00000000" w:rsidDel="00000000" w:rsidP="00000000" w:rsidRDefault="00000000" w:rsidRPr="00000000" w14:paraId="0000002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Unidad Académica o Administrativa</w:t>
      </w:r>
      <w:r w:rsidDel="00000000" w:rsidR="00000000" w:rsidRPr="00000000">
        <w:rPr>
          <w:sz w:val="22"/>
          <w:szCs w:val="22"/>
          <w:rtl w:val="0"/>
        </w:rPr>
        <w:t xml:space="preserve">: Vicerrectoría Administrativa</w:t>
      </w:r>
    </w:p>
    <w:p w:rsidR="00000000" w:rsidDel="00000000" w:rsidP="00000000" w:rsidRDefault="00000000" w:rsidRPr="00000000" w14:paraId="0000002C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Fecha</w:t>
      </w:r>
      <w:r w:rsidDel="00000000" w:rsidR="00000000" w:rsidRPr="00000000">
        <w:rPr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2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ANTECEDENTES</w:t>
      </w:r>
    </w:p>
    <w:p w:rsidR="00000000" w:rsidDel="00000000" w:rsidP="00000000" w:rsidRDefault="00000000" w:rsidRPr="00000000" w14:paraId="0000003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 el marco del programa Euroclima+, el Grupo GASURE de la Universidad de Antioquia, el grupo TAYEA de la Universidad Nacional y Colombia Productiva - CP unieron esfuerzos para presentar la propuesta aprobada: “</w:t>
      </w:r>
      <w:r w:rsidDel="00000000" w:rsidR="00000000" w:rsidRPr="00000000">
        <w:rPr>
          <w:i w:val="1"/>
          <w:sz w:val="22"/>
          <w:szCs w:val="22"/>
          <w:rtl w:val="0"/>
        </w:rPr>
        <w:t xml:space="preserve">Programa para el fortalecimiento y promoción de procesos de eficiencia energética para sectores industriales con alta demanda de energía térmica en Colombia”.</w:t>
      </w:r>
      <w:r w:rsidDel="00000000" w:rsidR="00000000" w:rsidRPr="00000000">
        <w:rPr>
          <w:sz w:val="22"/>
          <w:szCs w:val="22"/>
          <w:rtl w:val="0"/>
        </w:rPr>
        <w:t xml:space="preserve"> El cual tiene como objetivo desarrollar un parque tecnológico industrial para la innovación, adaptación, demostración y transferencia de tecnologías (nacionales e internacionales) modernas y con alta eficiencia energética para la combustión y el calentamiento. Se pretende que sea adaptable a la escala económica y técnica del sector industrial colombiano, a sus requerimientos específicos y a costos razonables y ajustados a sus capacidades económicas y financieras. El proyecto contará también con el diseño de programa de monitoreo y evaluación de impactos de medidas adoptadas en eficiencia energética por la industria en Colombia y tendrá en cuenta la igualdad de género tanto en la fase de concepción, como en las fases de funcionamiento.</w:t>
      </w:r>
    </w:p>
    <w:p w:rsidR="00000000" w:rsidDel="00000000" w:rsidP="00000000" w:rsidRDefault="00000000" w:rsidRPr="00000000" w14:paraId="0000003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 proyecto está conformado por seis componentes independientes que se listan a continuación: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Componente A: Construcción de la infraestructura del parque tecnológico.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Componente B. Estructuración y consolidación del parque.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Componente C: Ajuste y alistamiento de tecnologías de combustión y calentamiento modernas y eficientes.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Componente D. Programa de monitoreo, digitalización de procesos, analítica de datos y evaluación de impactos.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Componente E. Promoción de la cultura del uso eficiente y racional de la energía.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Componente F. Promoción, divulgación y búsqueda de actores y estrategias para el sostenimiento del parque.</w:t>
      </w:r>
    </w:p>
    <w:p w:rsidR="00000000" w:rsidDel="00000000" w:rsidP="00000000" w:rsidRDefault="00000000" w:rsidRPr="00000000" w14:paraId="0000003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INFORMACIÓN GENERAL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97"/>
        <w:gridCol w:w="5431"/>
        <w:tblGridChange w:id="0">
          <w:tblGrid>
            <w:gridCol w:w="3397"/>
            <w:gridCol w:w="54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Denominación consultoría </w:t>
            </w:r>
          </w:p>
          <w:p w:rsidR="00000000" w:rsidDel="00000000" w:rsidP="00000000" w:rsidRDefault="00000000" w:rsidRPr="00000000" w14:paraId="00000047">
            <w:pPr>
              <w:spacing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Código de convenio </w:t>
            </w:r>
          </w:p>
          <w:p w:rsidR="00000000" w:rsidDel="00000000" w:rsidP="00000000" w:rsidRDefault="00000000" w:rsidRPr="00000000" w14:paraId="0000004A">
            <w:pPr>
              <w:spacing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Código de proyecto</w:t>
            </w:r>
          </w:p>
          <w:p w:rsidR="00000000" w:rsidDel="00000000" w:rsidP="00000000" w:rsidRDefault="00000000" w:rsidRPr="00000000" w14:paraId="0000004B">
            <w:pPr>
              <w:spacing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Centro gestor</w:t>
            </w:r>
          </w:p>
          <w:p w:rsidR="00000000" w:rsidDel="00000000" w:rsidP="00000000" w:rsidRDefault="00000000" w:rsidRPr="00000000" w14:paraId="0000004C">
            <w:pPr>
              <w:spacing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Tipo de adquisición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before="12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Ingeniero 5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en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el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Programa para el fortalecimiento y promoción de procesos de eficiencia energética para sectores industriales con alta demanda de energía térmica en Colombia</w:t>
            </w:r>
          </w:p>
          <w:p w:rsidR="00000000" w:rsidDel="00000000" w:rsidP="00000000" w:rsidRDefault="00000000" w:rsidRPr="00000000" w14:paraId="0000004E">
            <w:pPr>
              <w:spacing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AFD CZZ2300 19B</w:t>
            </w:r>
          </w:p>
          <w:p w:rsidR="00000000" w:rsidDel="00000000" w:rsidP="00000000" w:rsidRDefault="00000000" w:rsidRPr="00000000" w14:paraId="0000004F">
            <w:pPr>
              <w:spacing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CV91200202</w:t>
            </w:r>
          </w:p>
          <w:p w:rsidR="00000000" w:rsidDel="00000000" w:rsidP="00000000" w:rsidRDefault="00000000" w:rsidRPr="00000000" w14:paraId="00000050">
            <w:pPr>
              <w:spacing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10440009 proyectos Vicerrectoría Administrativa</w:t>
            </w:r>
          </w:p>
          <w:p w:rsidR="00000000" w:rsidDel="00000000" w:rsidP="00000000" w:rsidRDefault="00000000" w:rsidRPr="00000000" w14:paraId="00000051">
            <w:pPr>
              <w:spacing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Adquisición Competitiva 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Tipo de vinculación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Contrato de Consultoría: según el artículo 32 de la Ley 80 de 1983, son contratos de consultoría los que celebren las entidades estatales referidos a los estudios necesarios para la ejecución de proyectos de inversión, estudios de diagnóstico, prefactibilidad o factibilidad para programas o proyectos específicos, así como a las asesorías técnicas de coordinación, control y supervisión.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Duración del proyecto: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meses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Fechas para la prestación de la consultoría: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01 de julio de 2023 a 31 de octubre de 2024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Sede de actividades: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Medellín y El Carmen de Viboral- Antioquia, la ubicación de la obra física será en el Carmen de Viboral – Antioquia, sin embargo, se pretenderá tener un impacto inicialmente en las zonas industriales de las ciudades principales: Medellín (Área Metropolitana que incluye los Municipios de Barbosa, Girardota, Copacabana, Bello, Envigado, Sabaneta, Caldas, La Estrella e Itagüí, y Municipios cercanos al Oriente Antioqueño); Bogotá; Cali; y Barranquilla.</w:t>
            </w:r>
          </w:p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total del contrato: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$ 76.970.000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(corresponde al valor de los honorarios para la vigencia del contrato)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before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 de personas requeridas: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Uno (1)</w:t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numPr>
          <w:ilvl w:val="1"/>
          <w:numId w:val="6"/>
        </w:numPr>
        <w:ind w:left="720" w:hanging="360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Cronograma</w:t>
      </w:r>
    </w:p>
    <w:p w:rsidR="00000000" w:rsidDel="00000000" w:rsidP="00000000" w:rsidRDefault="00000000" w:rsidRPr="00000000" w14:paraId="0000006D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1"/>
        <w:gridCol w:w="3907"/>
        <w:tblGridChange w:id="0">
          <w:tblGrid>
            <w:gridCol w:w="4921"/>
            <w:gridCol w:w="3907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Publicación de la convocatoria, portal UdeA </w:t>
            </w:r>
            <w:hyperlink r:id="rId8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www.udea.edu.co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 de mayo de 2023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Recepción de documentación aspirantes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Hasta el 25 de mayo de 2023 a las 4:00 p.m.      hora legal colombiana señalada por el Instituto de Metrología.   </w:t>
            </w:r>
            <w:hyperlink r:id="rId9">
              <w:r w:rsidDel="00000000" w:rsidR="00000000" w:rsidRPr="00000000">
                <w:rPr>
                  <w:color w:val="000000"/>
                  <w:sz w:val="22"/>
                  <w:szCs w:val="22"/>
                  <w:u w:val="single"/>
                  <w:rtl w:val="0"/>
                </w:rPr>
                <w:t xml:space="preserve">ptee.viceadministrativa@udea.edu.co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Verificación de requisitos y preselección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Del 26 al 30 de mayo de 2023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Publicación de resultados de la verificación de requisitos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31 de mayo de 2023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Entrevistas y prueba técnica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Del 1 al 6 de junio 2023 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Publicación de resultados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 de junio 2023 </w:t>
            </w:r>
          </w:p>
        </w:tc>
      </w:tr>
    </w:tbl>
    <w:p w:rsidR="00000000" w:rsidDel="00000000" w:rsidP="00000000" w:rsidRDefault="00000000" w:rsidRPr="00000000" w14:paraId="0000007A">
      <w:pPr>
        <w:pStyle w:val="Heading2"/>
        <w:ind w:left="426" w:hanging="36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numPr>
          <w:ilvl w:val="1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Actividades y entregables</w:t>
      </w:r>
    </w:p>
    <w:p w:rsidR="00000000" w:rsidDel="00000000" w:rsidP="00000000" w:rsidRDefault="00000000" w:rsidRPr="00000000" w14:paraId="0000007D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Actividades y entregables del Consultor Individual:</w:t>
      </w:r>
    </w:p>
    <w:p w:rsidR="00000000" w:rsidDel="00000000" w:rsidP="00000000" w:rsidRDefault="00000000" w:rsidRPr="00000000" w14:paraId="0000007F">
      <w:pPr>
        <w:shd w:fill="ffffff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 forma individual: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Brindar apoyo al Comité Técnico Científico CTC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según sus requerimientos.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Soporte: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informes técnicos acompañados de sus respectivas sustentaciones, empleando herramientas o medios de acuerdo con las tecnologías de la información y comunicación, para soportar las propuestas, las sugerencias e iniciativas que se propongan y ejecuten en el desarrollo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demás actividades que requiera 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Contratante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estén directamente relacionadas con el objeto del Contrato.</w:t>
      </w:r>
    </w:p>
    <w:p w:rsidR="00000000" w:rsidDel="00000000" w:rsidP="00000000" w:rsidRDefault="00000000" w:rsidRPr="00000000" w14:paraId="00000084">
      <w:pPr>
        <w:shd w:fill="ffffff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 forma conjunta: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Cooperar en la definición de necesidades y requerimientos para las pruebas de las tecnologías demostrativas y la puesta en operación del parque tecnológico.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Soportes: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informe técnico y presentación empleando herramientas o medios de acuerdo con las tecnologías de la información y comunicación para sustentación y discusión ante el CTC; así mismo, elaborar Informes conjuntos con la comisión respectiva que defina el CTC; actas de reunión y acuerdos con el equipo de interventoría.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Cooperar en la definición de necesidades, requerimientos en la construcción de la infraestructura y operación de una plataforma educativa interactiva.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Soportes: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informe técnico y presentación empleando herramientas o medios de acuerdo con las tecnologías de la información y comunicación para sustentación y discusión ante el CTC; así mismo, elaborar informes conjuntos con la comisión respectiva que defina el CTC; actas de reunión y acuerdos con el equipo de interventoría.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Cooperar en la definición de necesidades y requerimientos en la construcción de la infraestructura y operación del centro de monitoreo.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Soportes: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informe técnico y presentación empleando herramientas o medios de acuerdo con las tecnologías de la información y comunicación para sustentación y discusión ante el CTC; así mismo, elaborar informes conjuntos con la comisión respectiva que defina el CTC; actas de reunión y acuerdos con el equipo de interventoría.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Apoyar el equipo de ingenieros responsable de las actividades para el diagnóstico inicial, ajuste, puesta a punto y en marcha para demostración de las tecnologías que serán trasladadas al parque.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Soportes: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informes técnicos, planos de montaje y detalle para el ajuste de los equipos y periféricos; informe técnico de evaluación (incluye un diagnóstico de las tecnologías que se pondrán en demostración) experimental de las tecnologías antes y después de la instalación en el parque; y un informe para la operación de las tecnologías. Para lo anterior empleará herramientas o medios de acuerdo con las tecnologías de la información y comunicación.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Soporte a la identificación de procesos industriales que puedan ser incorporado a las pruebas pilotos del centro de monitoreo digital y para el diagnóstico y optimización de los respectivos sistemas térmicos.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Soporte: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informe técnico acerca de las actividades colaborativas que realizará con los otros investigadores del proyecto, empleando herramientas o medios de acuerdo con las tecnologías de la información y comunicación.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NOTAS: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actividades deben estar soportadas con informes (entregables) definidos por el CTC y avalados por el interventor técnico que designe el ordenador del gasto.</w:t>
      </w:r>
    </w:p>
    <w:p w:rsidR="00000000" w:rsidDel="00000000" w:rsidP="00000000" w:rsidRDefault="00000000" w:rsidRPr="00000000" w14:paraId="0000008D">
      <w:pPr>
        <w:shd w:fill="ffffff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1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PERFIL MÍNIMO REQUERIDO</w:t>
      </w:r>
    </w:p>
    <w:p w:rsidR="00000000" w:rsidDel="00000000" w:rsidP="00000000" w:rsidRDefault="00000000" w:rsidRPr="00000000" w14:paraId="0000008F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2"/>
        <w:numPr>
          <w:ilvl w:val="1"/>
          <w:numId w:val="6"/>
        </w:numPr>
        <w:ind w:left="720" w:hanging="360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Estudios de educación formal</w:t>
      </w:r>
    </w:p>
    <w:p w:rsidR="00000000" w:rsidDel="00000000" w:rsidP="00000000" w:rsidRDefault="00000000" w:rsidRPr="00000000" w14:paraId="00000091">
      <w:pPr>
        <w:jc w:val="both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Títulos de </w:t>
      </w:r>
      <w:r w:rsidDel="00000000" w:rsidR="00000000" w:rsidRPr="00000000">
        <w:rPr>
          <w:b w:val="1"/>
          <w:sz w:val="22"/>
          <w:szCs w:val="22"/>
          <w:rtl w:val="0"/>
        </w:rPr>
        <w:t xml:space="preserve">formación profesional en pregrado</w:t>
      </w:r>
      <w:r w:rsidDel="00000000" w:rsidR="00000000" w:rsidRPr="00000000">
        <w:rPr>
          <w:sz w:val="22"/>
          <w:szCs w:val="22"/>
          <w:rtl w:val="0"/>
        </w:rPr>
        <w:t xml:space="preserve"> otorgados por una institución de educación superior oficialmente reconocida por el Ministerio de Educación de Colombia, de alguno de los siguientes núcleos básicos de conocimiento: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Ingeniería y afines</w:t>
      </w:r>
    </w:p>
    <w:p w:rsidR="00000000" w:rsidDel="00000000" w:rsidP="00000000" w:rsidRDefault="00000000" w:rsidRPr="00000000" w14:paraId="0000009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Nota:</w:t>
      </w:r>
      <w:r w:rsidDel="00000000" w:rsidR="00000000" w:rsidRPr="00000000">
        <w:rPr>
          <w:sz w:val="22"/>
          <w:szCs w:val="22"/>
          <w:rtl w:val="0"/>
        </w:rPr>
        <w:t xml:space="preserve"> los estudios de educación formal se acreditarán mediante la presentación de diplomas, actas de grado o títulos otorgados por las instituciones correspondientes. Para su validez requerirán de los registros y autenticaciones que determinen las normas vigentes sobre la materia.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Los estudios realizados y los títulos obtenidos en el exterior requerirán para su validez, la convalidación por parte del Ministerio de Educación de Colombia o de la autoridad competente.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2"/>
        <w:numPr>
          <w:ilvl w:val="1"/>
          <w:numId w:val="6"/>
        </w:numPr>
        <w:ind w:left="720" w:hanging="360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Experiencia relacionada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80" w:line="240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Experiencia: mínimo seis (6) meses de experiencia profesional relacionada con: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850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Proyectos relacionados con tecnologías de combustión avanzada (combustión sin llama, radiación u otras) y eficiencia energética.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Soporte para el control de variables electromecánicas y térmicas.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Proyectos de interacción con la Industria.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Proyectos de I+D+i (Investigación, Desarrollo e Innovación).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experiencia relacionada es la adquirida a partir del ejercicio de empleos o actividades que tengan similitud con los entregables o las actividades a desarrollar en el marco de este contrato.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2"/>
        <w:numPr>
          <w:ilvl w:val="1"/>
          <w:numId w:val="6"/>
        </w:numPr>
        <w:ind w:left="720" w:hanging="360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Otras habilidades y competencias:</w:t>
      </w:r>
    </w:p>
    <w:p w:rsidR="00000000" w:rsidDel="00000000" w:rsidP="00000000" w:rsidRDefault="00000000" w:rsidRPr="00000000" w14:paraId="0000009F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Habilidades para la planeación y el trabajo en equipo.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Capacidad para el análisis de datos y documentos técnicos.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Capacidad para resolver problemas y de manejo de relaciones permanentes y fluidas con diversos tipos de actores involucrados.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Excelentes habilidades de organización y comunicación.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Alta confiabilidad y excelente tratamiento de la información, acorde a los niveles de acceso y reserva necesaria.</w:t>
      </w:r>
    </w:p>
    <w:p w:rsidR="00000000" w:rsidDel="00000000" w:rsidP="00000000" w:rsidRDefault="00000000" w:rsidRPr="00000000" w14:paraId="000000A5">
      <w:pPr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1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CRITERIOS DE CALIFICACIÓN</w:t>
      </w:r>
    </w:p>
    <w:p w:rsidR="00000000" w:rsidDel="00000000" w:rsidP="00000000" w:rsidRDefault="00000000" w:rsidRPr="00000000" w14:paraId="000000A7">
      <w:pPr>
        <w:jc w:val="both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6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4"/>
        <w:gridCol w:w="3016"/>
        <w:tblGridChange w:id="0">
          <w:tblGrid>
            <w:gridCol w:w="4634"/>
            <w:gridCol w:w="3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 Experiencia laboral en el área requerida y relacionada con el cargo.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Puntaje hasta: 40 puntos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Más de 6 meses y hasta 12 meses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Hasta 15 puntos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Más de 13 meses y hasta 24 meses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Hasta 30 puntos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Más de 24 meses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1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Hasta 40 puntos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Pruebas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12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Puntaje hasta: 60 puntos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Entrevista valorar habilidades y competencias del 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Entrevista: 60 puntos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Puntaje 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Hasta 100 Puntos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1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DOCUMENTACIÓN REQUERIDA</w:t>
      </w:r>
    </w:p>
    <w:p w:rsidR="00000000" w:rsidDel="00000000" w:rsidP="00000000" w:rsidRDefault="00000000" w:rsidRPr="00000000" w14:paraId="000000BA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Para participar en el proceso de selección se debe presentar:</w:t>
      </w:r>
    </w:p>
    <w:p w:rsidR="00000000" w:rsidDel="00000000" w:rsidP="00000000" w:rsidRDefault="00000000" w:rsidRPr="00000000" w14:paraId="000000BC">
      <w:pPr>
        <w:jc w:val="both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714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Hoja de vida detallada.</w:t>
      </w:r>
    </w:p>
    <w:p w:rsidR="00000000" w:rsidDel="00000000" w:rsidP="00000000" w:rsidRDefault="00000000" w:rsidRPr="00000000" w14:paraId="000000BE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714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Copia de los títulos de estudio de educación formal.</w:t>
      </w:r>
    </w:p>
    <w:p w:rsidR="00000000" w:rsidDel="00000000" w:rsidP="00000000" w:rsidRDefault="00000000" w:rsidRPr="00000000" w14:paraId="000000B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714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Certificado(s) de experiencia expedido(s) por el empleador (no es requerido con fecha reciente), con la siguiente información: nombre de la entidad donde se haya laborado; fechas de vinculación y desvinculación de la entidad, y dedicación; relación de las funciones desempeñadas en cada cargo ocupado y período de desempeño en cada uno de ellos.</w:t>
      </w:r>
    </w:p>
    <w:p w:rsidR="00000000" w:rsidDel="00000000" w:rsidP="00000000" w:rsidRDefault="00000000" w:rsidRPr="00000000" w14:paraId="000000C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714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Copia de la matrícula, tarjeta o registro profesional en los casos que sea aplicable. </w:t>
      </w:r>
    </w:p>
    <w:p w:rsidR="00000000" w:rsidDel="00000000" w:rsidP="00000000" w:rsidRDefault="00000000" w:rsidRPr="00000000" w14:paraId="000000C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714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Declaración de Integridad de la AFD diligenciada y firmada. </w:t>
      </w:r>
    </w:p>
    <w:p w:rsidR="00000000" w:rsidDel="00000000" w:rsidP="00000000" w:rsidRDefault="00000000" w:rsidRPr="00000000" w14:paraId="000000C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714" w:hanging="35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Certificados de contraloría, procuraduría, policía.</w:t>
      </w:r>
    </w:p>
    <w:p w:rsidR="00000000" w:rsidDel="00000000" w:rsidP="00000000" w:rsidRDefault="00000000" w:rsidRPr="00000000" w14:paraId="000000C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ind w:left="714" w:hanging="357"/>
        <w:jc w:val="both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Certificado de votación para elección de Presidente de la República del 19 de junio de 2022. </w:t>
      </w:r>
      <w:r w:rsidDel="00000000" w:rsidR="00000000" w:rsidRPr="00000000">
        <w:rPr>
          <w:i w:val="1"/>
          <w:sz w:val="22"/>
          <w:szCs w:val="22"/>
          <w:rtl w:val="0"/>
        </w:rPr>
        <w:t xml:space="preserve">Nota: este certificado de votación es una variable de desempate en caso de puntajes iguales (es decir que su presentación es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opcional</w:t>
      </w:r>
      <w:r w:rsidDel="00000000" w:rsidR="00000000" w:rsidRPr="00000000">
        <w:rPr>
          <w:i w:val="1"/>
          <w:sz w:val="22"/>
          <w:szCs w:val="22"/>
          <w:rtl w:val="0"/>
        </w:rPr>
        <w:t xml:space="preserve">). 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  <w:t xml:space="preserve">Para el proceso de vinculación, la persona seleccionada deberá presentar: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 la cédula ampliada al 150%.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afiliación al Fondo de Pensiones.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afiliación a EPS.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cuenta bancaria.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1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ORDEN DE ELEGIBILIDAD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 el informe de evaluación se debe establecer en orden de elegibilidad, en caso de no aceptación por parte de la persona seleccionada se continuará en estricto orden de elegibilidad.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CRITERIOS DE DESEMPATE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el aspirante que se encuentre en situación de discapacidad.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el aspirante que demuestre la calidad de víctima, conforme a lo descrito en el artículo 131 de la Ley 1448 de 2011.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quien demuestre haber cumplido con el deber de votar en las elecciones inmediatamente anteriores, en los términos señalados en el artículo 2 numeral 3 de la Ley 403 de 1997.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1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CAUSALES DE EXCLUSIÓN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09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producirá exclusión del aspirante en cualquier etapa del proceso, si incurre en una de las siguientes faltas:</w:t>
      </w:r>
    </w:p>
    <w:p w:rsidR="00000000" w:rsidDel="00000000" w:rsidP="00000000" w:rsidRDefault="00000000" w:rsidRPr="00000000" w14:paraId="000000DA">
      <w:pPr>
        <w:jc w:val="both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 se ajusta a las exigencias de la invitación. </w:t>
      </w:r>
    </w:p>
    <w:p w:rsidR="00000000" w:rsidDel="00000000" w:rsidP="00000000" w:rsidRDefault="00000000" w:rsidRPr="00000000" w14:paraId="000000D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presenta de forma extemporánea o luego de la fecha y hora fijadas para el cierre, o se entreguen los documentos en lugar diferente al establecido en la invitación.</w:t>
      </w:r>
    </w:p>
    <w:p w:rsidR="00000000" w:rsidDel="00000000" w:rsidP="00000000" w:rsidRDefault="00000000" w:rsidRPr="00000000" w14:paraId="000000D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información o documentación entregada no sea veraz o se observen presuntas falsedades o inconsistencias o contradicciones entre varios documentos.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para el ejercicio de su profesión u oficio requiere tarjeta, certificado o registro que habilite o certifique su título debe presentarlo en el momento de remitir su formato de inscripción, de lo contrario no cumplirá con los requisitos.</w:t>
      </w:r>
    </w:p>
    <w:p w:rsidR="00000000" w:rsidDel="00000000" w:rsidP="00000000" w:rsidRDefault="00000000" w:rsidRPr="00000000" w14:paraId="000000DF">
      <w:pPr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1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1ksv4uv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DECLARACIÓN PROCESO DESIERTO</w:t>
      </w:r>
    </w:p>
    <w:p w:rsidR="00000000" w:rsidDel="00000000" w:rsidP="00000000" w:rsidRDefault="00000000" w:rsidRPr="00000000" w14:paraId="000000E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tabs>
          <w:tab w:val="left" w:leader="none" w:pos="709"/>
        </w:tabs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</w:t>
      </w:r>
      <w:r w:rsidDel="00000000" w:rsidR="00000000" w:rsidRPr="00000000">
        <w:rPr>
          <w:b w:val="1"/>
          <w:sz w:val="22"/>
          <w:szCs w:val="22"/>
          <w:rtl w:val="0"/>
        </w:rPr>
        <w:t xml:space="preserve">UdeA</w:t>
      </w:r>
      <w:r w:rsidDel="00000000" w:rsidR="00000000" w:rsidRPr="00000000">
        <w:rPr>
          <w:sz w:val="22"/>
          <w:szCs w:val="22"/>
          <w:rtl w:val="0"/>
        </w:rPr>
        <w:t xml:space="preserve"> declarará desierto el Proceso de Contratación en los siguientes eventos:</w:t>
      </w:r>
    </w:p>
    <w:p w:rsidR="00000000" w:rsidDel="00000000" w:rsidP="00000000" w:rsidRDefault="00000000" w:rsidRPr="00000000" w14:paraId="000000E3">
      <w:pPr>
        <w:widowControl w:val="0"/>
        <w:tabs>
          <w:tab w:val="left" w:leader="none" w:pos="709"/>
        </w:tabs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09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Por motivos que impidan la escogencia del mejor candidato.</w:t>
      </w:r>
    </w:p>
    <w:p w:rsidR="00000000" w:rsidDel="00000000" w:rsidP="00000000" w:rsidRDefault="00000000" w:rsidRPr="00000000" w14:paraId="000000E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09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Porque sobrevengan razones de fuerza mayor o caso fortuito.</w:t>
      </w:r>
    </w:p>
    <w:p w:rsidR="00000000" w:rsidDel="00000000" w:rsidP="00000000" w:rsidRDefault="00000000" w:rsidRPr="00000000" w14:paraId="000000E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09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Porque se presentan graves inconvenientes que le impidan a la Universidad cumplir la obligación contractual futura.</w:t>
      </w:r>
    </w:p>
    <w:p w:rsidR="00000000" w:rsidDel="00000000" w:rsidP="00000000" w:rsidRDefault="00000000" w:rsidRPr="00000000" w14:paraId="000000E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09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Por no presentarse candidatos.</w:t>
      </w:r>
    </w:p>
    <w:p w:rsidR="00000000" w:rsidDel="00000000" w:rsidP="00000000" w:rsidRDefault="00000000" w:rsidRPr="00000000" w14:paraId="000000E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Style w:val="Heading1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44sinio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PROHIBICIONES</w:t>
      </w:r>
    </w:p>
    <w:p w:rsidR="00000000" w:rsidDel="00000000" w:rsidP="00000000" w:rsidRDefault="00000000" w:rsidRPr="00000000" w14:paraId="000000E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160" w:line="259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una persona ha tenido una sanción disciplinaria en el último año, que lo inhabilite para ejercer cargos públicos, no podrá participar del proceso. </w:t>
      </w:r>
    </w:p>
    <w:p w:rsidR="00000000" w:rsidDel="00000000" w:rsidP="00000000" w:rsidRDefault="00000000" w:rsidRPr="00000000" w14:paraId="000000E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Constitución Política de Colombia define en el artículo 128 “</w:t>
      </w:r>
      <w:r w:rsidDel="00000000" w:rsidR="00000000" w:rsidRPr="00000000">
        <w:rPr>
          <w:i w:val="1"/>
          <w:sz w:val="22"/>
          <w:szCs w:val="22"/>
          <w:rtl w:val="0"/>
        </w:rPr>
        <w:t xml:space="preserve">Nadie podrá desempeñar simultáneamente más de un empleo público ni recibir más de una asignación que provenga del tesoro público, o de empresas o de instituciones en las que tenga parte mayoritaria el Estado, salvo los casos expresamente determinados por la ley. Entiéndase por tesoro público el de la Nación, el de las entidades territoriales y el de las descentralizadas.”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1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FORMA DE PAGO</w:t>
      </w:r>
    </w:p>
    <w:p w:rsidR="00000000" w:rsidDel="00000000" w:rsidP="00000000" w:rsidRDefault="00000000" w:rsidRPr="00000000" w14:paraId="000000E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realizarán pagos mensuales con informe previo con descripción de sub-actividades e insumos donde se evidencie el grado de avance de las actividades y se informe sobre logros y dificultades con el visto bueno del interventor y del Comité Técnico Científico, de acuerdo con la siguiente tabla:</w:t>
      </w:r>
    </w:p>
    <w:p w:rsidR="00000000" w:rsidDel="00000000" w:rsidP="00000000" w:rsidRDefault="00000000" w:rsidRPr="00000000" w14:paraId="000000F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941.0" w:type="dxa"/>
        <w:jc w:val="center"/>
        <w:tblLayout w:type="fixed"/>
        <w:tblLook w:val="0400"/>
      </w:tblPr>
      <w:tblGrid>
        <w:gridCol w:w="2924"/>
        <w:gridCol w:w="1056"/>
        <w:gridCol w:w="2961"/>
        <w:tblGridChange w:id="0">
          <w:tblGrid>
            <w:gridCol w:w="2924"/>
            <w:gridCol w:w="1056"/>
            <w:gridCol w:w="2961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Peso porcentual en la consultoría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de informe mensual n°1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20/07/2023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de informe mensual n°2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20/08/2023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de informe mensual n°3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20/09/2023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de informe mensual n°4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20/10/2023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de informe mensual n°5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20/11/2023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de informe mensual n°6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20/12/2023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de informe mensual n°7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20/01/2024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de informe mensual n°8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20/02/2024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de informe mensual n°9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20/03/2024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de informe mensual n°10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20/04/2024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de informe mensual n°11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20/05/2024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de informe mensual n°12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20/06/2024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de informe mensual n°13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20/07/2024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de informe mensual n°14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20/08/2024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de informe mensual n°15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20/09/2024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Entrega de informe mensual n°16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20/10/2024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12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1701" w:top="1135" w:left="1701" w:right="1701" w:header="426" w:footer="4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931"/>
      </w:tabs>
      <w:spacing w:after="0" w:before="0" w:line="240" w:lineRule="auto"/>
      <w:ind w:left="-426" w:right="-2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46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4600"/>
        <w:sz w:val="18"/>
        <w:szCs w:val="18"/>
        <w:u w:val="none"/>
        <w:shd w:fill="auto" w:val="clear"/>
        <w:vertAlign w:val="baseline"/>
        <w:rtl w:val="0"/>
      </w:rPr>
      <w:t xml:space="preserve">División de Talento Humano </w:t>
    </w:r>
  </w:p>
  <w:p w:rsidR="00000000" w:rsidDel="00000000" w:rsidP="00000000" w:rsidRDefault="00000000" w:rsidRPr="00000000" w14:paraId="000001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931"/>
      </w:tabs>
      <w:spacing w:after="0" w:before="0" w:line="240" w:lineRule="auto"/>
      <w:ind w:left="-426" w:right="-2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46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4600"/>
        <w:sz w:val="18"/>
        <w:szCs w:val="18"/>
        <w:u w:val="none"/>
        <w:shd w:fill="auto" w:val="clear"/>
        <w:vertAlign w:val="baseline"/>
        <w:rtl w:val="0"/>
      </w:rPr>
      <w:t xml:space="preserve">Recepción de correspondencia: calle 70 No. 52 - 21 | Apartado Aéreo 1226 | Dirección: calle 67 No. 53 - 108 </w:t>
    </w:r>
  </w:p>
  <w:p w:rsidR="00000000" w:rsidDel="00000000" w:rsidP="00000000" w:rsidRDefault="00000000" w:rsidRPr="00000000" w14:paraId="000001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931"/>
      </w:tabs>
      <w:spacing w:after="0" w:before="0" w:line="240" w:lineRule="auto"/>
      <w:ind w:left="-426" w:right="-2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46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4600"/>
        <w:sz w:val="18"/>
        <w:szCs w:val="18"/>
        <w:u w:val="none"/>
        <w:shd w:fill="auto" w:val="clear"/>
        <w:vertAlign w:val="baseline"/>
        <w:rtl w:val="0"/>
      </w:rPr>
      <w:t xml:space="preserve">Conmutador: [57+4] 219 8332 | Correo electrónico: atencionciudadano@udea.edu.co | NIT 890980040-8 |</w:t>
    </w:r>
  </w:p>
  <w:p w:rsidR="00000000" w:rsidDel="00000000" w:rsidP="00000000" w:rsidRDefault="00000000" w:rsidRPr="00000000" w14:paraId="000001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931"/>
      </w:tabs>
      <w:spacing w:after="0" w:before="0" w:line="240" w:lineRule="auto"/>
      <w:ind w:left="-426" w:right="-2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46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4600"/>
        <w:sz w:val="18"/>
        <w:szCs w:val="18"/>
        <w:u w:val="none"/>
        <w:shd w:fill="auto" w:val="clear"/>
        <w:vertAlign w:val="baseline"/>
        <w:rtl w:val="0"/>
      </w:rPr>
      <w:t xml:space="preserve">http://www.udea.edu.co ▪ Medellín - Colombia</w:t>
    </w:r>
  </w:p>
  <w:p w:rsidR="00000000" w:rsidDel="00000000" w:rsidP="00000000" w:rsidRDefault="00000000" w:rsidRPr="00000000" w14:paraId="000001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931"/>
      </w:tabs>
      <w:spacing w:after="0" w:before="0" w:line="240" w:lineRule="auto"/>
      <w:ind w:left="-426" w:right="-2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46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4600"/>
        <w:sz w:val="18"/>
        <w:szCs w:val="18"/>
        <w:u w:val="none"/>
        <w:shd w:fill="auto" w:val="clear"/>
        <w:vertAlign w:val="baseline"/>
        <w:rtl w:val="0"/>
      </w:rPr>
      <w:t xml:space="preserve">Vicerrectoría Administrativa</w:t>
    </w:r>
  </w:p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931"/>
      </w:tabs>
      <w:spacing w:after="0" w:before="0" w:line="240" w:lineRule="auto"/>
      <w:ind w:left="-426" w:right="-2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46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4600"/>
        <w:sz w:val="18"/>
        <w:szCs w:val="18"/>
        <w:u w:val="none"/>
        <w:shd w:fill="auto" w:val="clear"/>
        <w:vertAlign w:val="baseline"/>
        <w:rtl w:val="0"/>
      </w:rPr>
      <w:t xml:space="preserve">Dirección: Ciudad Universitaria, bloque 16 oficina 305 </w:t>
    </w:r>
  </w:p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931"/>
      </w:tabs>
      <w:spacing w:after="0" w:before="0" w:line="240" w:lineRule="auto"/>
      <w:ind w:left="-426" w:right="-2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46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4600"/>
        <w:sz w:val="18"/>
        <w:szCs w:val="18"/>
        <w:u w:val="none"/>
        <w:shd w:fill="auto" w:val="clear"/>
        <w:vertAlign w:val="baseline"/>
        <w:rtl w:val="0"/>
      </w:rPr>
      <w:t xml:space="preserve">Dirección de correspondencia: Calle 70 No. 52 - 21</w:t>
    </w:r>
  </w:p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931"/>
      </w:tabs>
      <w:spacing w:after="0" w:before="0" w:line="240" w:lineRule="auto"/>
      <w:ind w:left="-426" w:right="-2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46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4600"/>
        <w:sz w:val="18"/>
        <w:szCs w:val="18"/>
        <w:u w:val="none"/>
        <w:shd w:fill="auto" w:val="clear"/>
        <w:vertAlign w:val="baseline"/>
        <w:rtl w:val="0"/>
      </w:rPr>
      <w:t xml:space="preserve">Conmutador: 2198332 • NIT: 890980040-8</w:t>
    </w:r>
  </w:p>
  <w:p w:rsidR="00000000" w:rsidDel="00000000" w:rsidP="00000000" w:rsidRDefault="00000000" w:rsidRPr="00000000" w14:paraId="000001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931"/>
      </w:tabs>
      <w:spacing w:after="0" w:before="0" w:line="240" w:lineRule="auto"/>
      <w:ind w:left="-426" w:right="-23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4600"/>
        <w:sz w:val="18"/>
        <w:szCs w:val="18"/>
        <w:u w:val="none"/>
        <w:shd w:fill="auto" w:val="clear"/>
        <w:vertAlign w:val="baseline"/>
        <w:rtl w:val="0"/>
      </w:rPr>
      <w:t xml:space="preserve"> www.udea.edu.co | Medellín, Colombia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-414731</wp:posOffset>
          </wp:positionH>
          <wp:positionV relativeFrom="paragraph">
            <wp:posOffset>-191769</wp:posOffset>
          </wp:positionV>
          <wp:extent cx="6358890" cy="501015"/>
          <wp:effectExtent b="0" l="0" r="0" t="0"/>
          <wp:wrapSquare wrapText="bothSides" distB="0" distT="0" distL="114300" distR="114300"/>
          <wp:docPr id="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58890" cy="5010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-232722</wp:posOffset>
          </wp:positionH>
          <wp:positionV relativeFrom="paragraph">
            <wp:posOffset>-119426</wp:posOffset>
          </wp:positionV>
          <wp:extent cx="6358890" cy="501015"/>
          <wp:effectExtent b="0" l="0" r="0" t="0"/>
          <wp:wrapSquare wrapText="bothSides" distB="0" distT="0" distL="114300" distR="114300"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58890" cy="5010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1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cs="Arial" w:eastAsia="Arial" w:hAnsi="Arial"/>
        <w:b w:val="1"/>
        <w:sz w:val="22"/>
        <w:szCs w:val="22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ascii="Arial" w:cs="Arial" w:eastAsia="Arial" w:hAnsi="Arial"/>
        <w:b w:val="1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1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4"/>
        <w:szCs w:val="24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lowerLetter"/>
      <w:lvlText w:val="%1)"/>
      <w:lvlJc w:val="left"/>
      <w:pPr>
        <w:ind w:left="204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2760" w:hanging="360"/>
      </w:pPr>
      <w:rPr/>
    </w:lvl>
    <w:lvl w:ilvl="2">
      <w:start w:val="1"/>
      <w:numFmt w:val="lowerRoman"/>
      <w:lvlText w:val="%3."/>
      <w:lvlJc w:val="right"/>
      <w:pPr>
        <w:ind w:left="3480" w:hanging="180"/>
      </w:pPr>
      <w:rPr/>
    </w:lvl>
    <w:lvl w:ilvl="3">
      <w:start w:val="1"/>
      <w:numFmt w:val="decimal"/>
      <w:lvlText w:val="%4."/>
      <w:lvlJc w:val="left"/>
      <w:pPr>
        <w:ind w:left="4200" w:hanging="360"/>
      </w:pPr>
      <w:rPr/>
    </w:lvl>
    <w:lvl w:ilvl="4">
      <w:start w:val="1"/>
      <w:numFmt w:val="lowerLetter"/>
      <w:lvlText w:val="%5."/>
      <w:lvlJc w:val="left"/>
      <w:pPr>
        <w:ind w:left="4920" w:hanging="360"/>
      </w:pPr>
      <w:rPr/>
    </w:lvl>
    <w:lvl w:ilvl="5">
      <w:start w:val="1"/>
      <w:numFmt w:val="lowerRoman"/>
      <w:lvlText w:val="%6."/>
      <w:lvlJc w:val="right"/>
      <w:pPr>
        <w:ind w:left="5640" w:hanging="180"/>
      </w:pPr>
      <w:rPr/>
    </w:lvl>
    <w:lvl w:ilvl="6">
      <w:start w:val="1"/>
      <w:numFmt w:val="decimal"/>
      <w:lvlText w:val="%7."/>
      <w:lvlJc w:val="left"/>
      <w:pPr>
        <w:ind w:left="6360" w:hanging="360"/>
      </w:pPr>
      <w:rPr/>
    </w:lvl>
    <w:lvl w:ilvl="7">
      <w:start w:val="1"/>
      <w:numFmt w:val="lowerLetter"/>
      <w:lvlText w:val="%8."/>
      <w:lvlJc w:val="left"/>
      <w:pPr>
        <w:ind w:left="7080" w:hanging="360"/>
      </w:pPr>
      <w:rPr/>
    </w:lvl>
    <w:lvl w:ilvl="8">
      <w:start w:val="1"/>
      <w:numFmt w:val="lowerRoman"/>
      <w:lvlText w:val="%9."/>
      <w:lvlJc w:val="right"/>
      <w:pPr>
        <w:ind w:left="780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0" w:lineRule="auto"/>
      <w:ind w:left="720" w:hanging="360"/>
      <w:jc w:val="both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6" w:right="0" w:hanging="36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B23A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1">
    <w:name w:val="heading 1"/>
    <w:basedOn w:val="Prrafodelista"/>
    <w:next w:val="Normal"/>
    <w:link w:val="Ttulo1Car"/>
    <w:uiPriority w:val="9"/>
    <w:qFormat w:val="1"/>
    <w:rsid w:val="00885D42"/>
    <w:pPr>
      <w:numPr>
        <w:numId w:val="9"/>
      </w:numPr>
      <w:spacing w:before="120"/>
      <w:jc w:val="both"/>
      <w:outlineLvl w:val="0"/>
    </w:pPr>
    <w:rPr>
      <w:rFonts w:asciiTheme="minorHAnsi" w:cstheme="minorHAnsi" w:hAnsiTheme="minorHAnsi"/>
      <w:b w:val="1"/>
    </w:rPr>
  </w:style>
  <w:style w:type="paragraph" w:styleId="Ttulo2">
    <w:name w:val="heading 2"/>
    <w:basedOn w:val="Sinespaciado"/>
    <w:next w:val="Normal"/>
    <w:link w:val="Ttulo2Car"/>
    <w:uiPriority w:val="9"/>
    <w:unhideWhenUsed w:val="1"/>
    <w:qFormat w:val="1"/>
    <w:rsid w:val="00E92D07"/>
    <w:pPr>
      <w:numPr>
        <w:ilvl w:val="1"/>
        <w:numId w:val="9"/>
      </w:numPr>
      <w:ind w:left="426"/>
      <w:outlineLvl w:val="1"/>
    </w:pPr>
    <w:rPr>
      <w:b w:val="1"/>
      <w:bCs w:val="1"/>
      <w:sz w:val="22"/>
      <w:szCs w:val="22"/>
    </w:rPr>
  </w:style>
  <w:style w:type="paragraph" w:styleId="Ttulo3">
    <w:name w:val="heading 3"/>
    <w:basedOn w:val="Normal"/>
    <w:link w:val="Ttulo3Car"/>
    <w:uiPriority w:val="9"/>
    <w:qFormat w:val="1"/>
    <w:rsid w:val="00173571"/>
    <w:pPr>
      <w:spacing w:after="100" w:afterAutospacing="1" w:before="100" w:beforeAutospacing="1"/>
      <w:outlineLvl w:val="2"/>
    </w:pPr>
    <w:rPr>
      <w:b w:val="1"/>
      <w:bCs w:val="1"/>
      <w:sz w:val="27"/>
      <w:szCs w:val="27"/>
      <w:lang w:eastAsia="es-CO" w:val="es-CO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686B0C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686B0C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686B0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uiPriority w:val="9"/>
    <w:rsid w:val="00173571"/>
    <w:rPr>
      <w:rFonts w:ascii="Times New Roman" w:cs="Times New Roman" w:eastAsia="Times New Roman" w:hAnsi="Times New Roman"/>
      <w:b w:val="1"/>
      <w:bCs w:val="1"/>
      <w:sz w:val="27"/>
      <w:szCs w:val="27"/>
      <w:lang w:eastAsia="es-CO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C07F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C07F1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CC07F1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 w:val="22"/>
      <w:szCs w:val="22"/>
      <w:lang w:eastAsia="en-US" w:val="es-CO"/>
    </w:rPr>
  </w:style>
  <w:style w:type="character" w:styleId="EncabezadoCar" w:customStyle="1">
    <w:name w:val="Encabezado Car"/>
    <w:basedOn w:val="Fuentedeprrafopredeter"/>
    <w:link w:val="Encabezado"/>
    <w:uiPriority w:val="99"/>
    <w:rsid w:val="00CC07F1"/>
  </w:style>
  <w:style w:type="paragraph" w:styleId="Piedepgina">
    <w:name w:val="footer"/>
    <w:basedOn w:val="Normal"/>
    <w:link w:val="PiedepginaCar"/>
    <w:uiPriority w:val="99"/>
    <w:unhideWhenUsed w:val="1"/>
    <w:rsid w:val="00CC07F1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 w:val="22"/>
      <w:szCs w:val="22"/>
      <w:lang w:eastAsia="en-US" w:val="es-CO"/>
    </w:rPr>
  </w:style>
  <w:style w:type="character" w:styleId="PiedepginaCar" w:customStyle="1">
    <w:name w:val="Pie de página Car"/>
    <w:basedOn w:val="Fuentedeprrafopredeter"/>
    <w:link w:val="Piedepgina"/>
    <w:uiPriority w:val="99"/>
    <w:rsid w:val="00CC07F1"/>
  </w:style>
  <w:style w:type="paragraph" w:styleId="NormalWeb">
    <w:name w:val="Normal (Web)"/>
    <w:basedOn w:val="Normal"/>
    <w:uiPriority w:val="99"/>
    <w:unhideWhenUsed w:val="1"/>
    <w:rsid w:val="00E61A22"/>
    <w:pPr>
      <w:spacing w:after="100" w:afterAutospacing="1" w:before="100" w:beforeAutospacing="1"/>
    </w:pPr>
    <w:rPr>
      <w:lang w:eastAsia="es-CO" w:val="es-CO"/>
    </w:rPr>
  </w:style>
  <w:style w:type="paragraph" w:styleId="Prrafodelista">
    <w:name w:val="List Paragraph"/>
    <w:basedOn w:val="Normal"/>
    <w:uiPriority w:val="34"/>
    <w:qFormat w:val="1"/>
    <w:rsid w:val="001F7BD9"/>
    <w:pPr>
      <w:ind w:left="720"/>
      <w:contextualSpacing w:val="1"/>
    </w:pPr>
    <w:rPr>
      <w:rFonts w:eastAsiaTheme="minorHAnsi"/>
      <w:lang w:eastAsia="en-US" w:val="es-CO"/>
    </w:rPr>
  </w:style>
  <w:style w:type="character" w:styleId="Hipervnculo">
    <w:name w:val="Hyperlink"/>
    <w:basedOn w:val="Fuentedeprrafopredeter"/>
    <w:uiPriority w:val="99"/>
    <w:unhideWhenUsed w:val="1"/>
    <w:rsid w:val="004A1AE7"/>
    <w:rPr>
      <w:color w:val="0000ff" w:themeColor="hyperlink"/>
      <w:u w:val="single"/>
    </w:rPr>
  </w:style>
  <w:style w:type="character" w:styleId="apple-tab-span" w:customStyle="1">
    <w:name w:val="apple-tab-span"/>
    <w:basedOn w:val="Fuentedeprrafopredeter"/>
    <w:rsid w:val="00A75EE0"/>
  </w:style>
  <w:style w:type="character" w:styleId="gd" w:customStyle="1">
    <w:name w:val="gd"/>
    <w:basedOn w:val="Fuentedeprrafopredeter"/>
    <w:rsid w:val="00173571"/>
  </w:style>
  <w:style w:type="character" w:styleId="g3" w:customStyle="1">
    <w:name w:val="g3"/>
    <w:basedOn w:val="Fuentedeprrafopredeter"/>
    <w:rsid w:val="00173571"/>
  </w:style>
  <w:style w:type="character" w:styleId="hb" w:customStyle="1">
    <w:name w:val="hb"/>
    <w:basedOn w:val="Fuentedeprrafopredeter"/>
    <w:rsid w:val="00173571"/>
  </w:style>
  <w:style w:type="character" w:styleId="g2" w:customStyle="1">
    <w:name w:val="g2"/>
    <w:basedOn w:val="Fuentedeprrafopredeter"/>
    <w:rsid w:val="00173571"/>
  </w:style>
  <w:style w:type="table" w:styleId="Tablaconcuadrcula">
    <w:name w:val="Table Grid"/>
    <w:basedOn w:val="Tablanormal"/>
    <w:uiPriority w:val="59"/>
    <w:rsid w:val="00D75FA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uiPriority w:val="9"/>
    <w:rsid w:val="00885D42"/>
    <w:rPr>
      <w:rFonts w:cstheme="minorHAnsi"/>
      <w:b w:val="1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E92D07"/>
    <w:rPr>
      <w:rFonts w:ascii="Times New Roman" w:cs="Times New Roman" w:eastAsia="Times New Roman" w:hAnsi="Times New Roman"/>
      <w:b w:val="1"/>
      <w:bCs w:val="1"/>
      <w:lang w:eastAsia="es-ES" w:val="es-ES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686B0C"/>
    <w:rPr>
      <w:rFonts w:ascii="Times New Roman" w:cs="Times New Roman" w:eastAsia="Times New Roman" w:hAnsi="Times New Roman"/>
      <w:b w:val="1"/>
      <w:sz w:val="24"/>
      <w:szCs w:val="24"/>
      <w:lang w:eastAsia="es-ES" w:val="es-ES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686B0C"/>
    <w:rPr>
      <w:rFonts w:ascii="Times New Roman" w:cs="Times New Roman" w:eastAsia="Times New Roman" w:hAnsi="Times New Roman"/>
      <w:b w:val="1"/>
      <w:lang w:eastAsia="es-ES" w:val="es-ES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686B0C"/>
    <w:rPr>
      <w:rFonts w:ascii="Times New Roman" w:cs="Times New Roman" w:eastAsia="Times New Roman" w:hAnsi="Times New Roman"/>
      <w:b w:val="1"/>
      <w:sz w:val="20"/>
      <w:szCs w:val="20"/>
      <w:lang w:eastAsia="es-ES" w:val="es-ES"/>
    </w:rPr>
  </w:style>
  <w:style w:type="character" w:styleId="TtuloCar" w:customStyle="1">
    <w:name w:val="Título Car"/>
    <w:basedOn w:val="Fuentedeprrafopredeter"/>
    <w:link w:val="Ttulo"/>
    <w:uiPriority w:val="10"/>
    <w:rsid w:val="00686B0C"/>
    <w:rPr>
      <w:rFonts w:ascii="Times New Roman" w:cs="Times New Roman" w:eastAsia="Times New Roman" w:hAnsi="Times New Roman"/>
      <w:b w:val="1"/>
      <w:sz w:val="72"/>
      <w:szCs w:val="72"/>
      <w:lang w:eastAsia="es-ES" w:val="es-ES"/>
    </w:rPr>
  </w:style>
  <w:style w:type="paragraph" w:styleId="Ttulo">
    <w:name w:val="Title"/>
    <w:basedOn w:val="Normal"/>
    <w:next w:val="Normal"/>
    <w:link w:val="TtuloCar"/>
    <w:uiPriority w:val="10"/>
    <w:qFormat w:val="1"/>
    <w:rsid w:val="00686B0C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SubttuloCar" w:customStyle="1">
    <w:name w:val="Subtítulo Car"/>
    <w:basedOn w:val="Fuentedeprrafopredeter"/>
    <w:link w:val="Subttulo"/>
    <w:uiPriority w:val="11"/>
    <w:rsid w:val="00686B0C"/>
    <w:rPr>
      <w:rFonts w:ascii="Georgia" w:cs="Georgia" w:eastAsia="Georgia" w:hAnsi="Georgia"/>
      <w:i w:val="1"/>
      <w:color w:val="666666"/>
      <w:sz w:val="48"/>
      <w:szCs w:val="48"/>
      <w:lang w:eastAsia="es-ES" w:val="es-ES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686B0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il" w:customStyle="1">
    <w:name w:val="il"/>
    <w:basedOn w:val="Fuentedeprrafopredeter"/>
    <w:rsid w:val="00624575"/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8817E8"/>
    <w:rPr>
      <w:color w:val="605e5c"/>
      <w:shd w:color="auto" w:fill="e1dfdd" w:val="cle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E00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E00DEA"/>
    <w:rPr>
      <w:sz w:val="20"/>
      <w:szCs w:val="20"/>
      <w:lang w:eastAsia="es-MX" w:val="es-CO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E00DEA"/>
    <w:rPr>
      <w:rFonts w:ascii="Times New Roman" w:cs="Times New Roman" w:eastAsia="Times New Roman" w:hAnsi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83EF6"/>
    <w:rPr>
      <w:b w:val="1"/>
      <w:bCs w:val="1"/>
      <w:lang w:eastAsia="es-ES" w:val="es-E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83EF6"/>
    <w:rPr>
      <w:rFonts w:ascii="Times New Roman" w:cs="Times New Roman" w:eastAsia="Times New Roman" w:hAnsi="Times New Roman"/>
      <w:b w:val="1"/>
      <w:bCs w:val="1"/>
      <w:sz w:val="20"/>
      <w:szCs w:val="20"/>
      <w:lang w:eastAsia="es-ES" w:val="es-ES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5A6602"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color w:val="365f91" w:themeColor="accent1" w:themeShade="0000BF"/>
      <w:sz w:val="32"/>
      <w:szCs w:val="32"/>
      <w:lang w:eastAsia="es-CO"/>
    </w:rPr>
  </w:style>
  <w:style w:type="paragraph" w:styleId="TDC2">
    <w:name w:val="toc 2"/>
    <w:basedOn w:val="Normal"/>
    <w:next w:val="Normal"/>
    <w:autoRedefine w:val="1"/>
    <w:uiPriority w:val="39"/>
    <w:unhideWhenUsed w:val="1"/>
    <w:rsid w:val="00E92D07"/>
    <w:pPr>
      <w:numPr>
        <w:ilvl w:val="1"/>
        <w:numId w:val="10"/>
      </w:numPr>
      <w:tabs>
        <w:tab w:val="left" w:pos="1100"/>
        <w:tab w:val="right" w:leader="dot" w:pos="8828"/>
      </w:tabs>
      <w:spacing w:after="100" w:line="259" w:lineRule="auto"/>
      <w:ind w:left="720"/>
    </w:pPr>
    <w:rPr>
      <w:rFonts w:asciiTheme="minorHAnsi" w:eastAsiaTheme="minorEastAsia" w:hAnsiTheme="minorHAnsi"/>
      <w:sz w:val="22"/>
      <w:szCs w:val="22"/>
      <w:lang w:eastAsia="es-CO" w:val="es-CO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5A6602"/>
    <w:pPr>
      <w:spacing w:after="100" w:line="259" w:lineRule="auto"/>
    </w:pPr>
    <w:rPr>
      <w:rFonts w:asciiTheme="minorHAnsi" w:eastAsiaTheme="minorEastAsia" w:hAnsiTheme="minorHAnsi"/>
      <w:sz w:val="22"/>
      <w:szCs w:val="22"/>
      <w:lang w:eastAsia="es-CO" w:val="es-CO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5A6602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es-CO" w:val="es-CO"/>
    </w:rPr>
  </w:style>
  <w:style w:type="paragraph" w:styleId="Sinespaciado">
    <w:name w:val="No Spacing"/>
    <w:uiPriority w:val="1"/>
    <w:qFormat w:val="1"/>
    <w:rsid w:val="00C44E4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Revisin">
    <w:name w:val="Revision"/>
    <w:hidden w:val="1"/>
    <w:uiPriority w:val="99"/>
    <w:semiHidden w:val="1"/>
    <w:rsid w:val="00CC30A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Mencinsinresolver2" w:customStyle="1">
    <w:name w:val="Mención sin resolver2"/>
    <w:basedOn w:val="Fuentedeprrafopredeter"/>
    <w:uiPriority w:val="99"/>
    <w:semiHidden w:val="1"/>
    <w:unhideWhenUsed w:val="1"/>
    <w:rsid w:val="00EB6F7C"/>
    <w:rPr>
      <w:color w:val="605e5c"/>
      <w:shd w:color="auto" w:fill="e1dfdd" w:val="clear"/>
    </w:rPr>
  </w:style>
  <w:style w:type="character" w:styleId="Mencinsinresolver3" w:customStyle="1">
    <w:name w:val="Mención sin resolver3"/>
    <w:basedOn w:val="Fuentedeprrafopredeter"/>
    <w:uiPriority w:val="99"/>
    <w:semiHidden w:val="1"/>
    <w:unhideWhenUsed w:val="1"/>
    <w:rsid w:val="00BC784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tee.viceadministrativa@udea.edu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udea.edu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a1lESYImD+Mzm0NtQoFJtoHTYQ==">AMUW2mUSAyo3p2JCeNsDAYIkSmyLYpEmMf8+x4F+Ls+3u2sw1D5SAa+KQ7QQ3u5SQB7eUeyQsRUHTTI+1IeulINrjIs+LkDo4YEtkFB1Cur2nTyyLAzCc6/mqN8fRqpGkMwEXP/taQ3fllaW9fh6KXBKhXTegKOCXnhxHSvZl77sZValKYeALRPGiHh9eG0HKvukD1Sg/NQoJQdmCas0teImKYSqbbU1SqgyjlDxuerQZuXQIQSqebiJu9E/6R/1HYDDZ8CcXVdIKqZw/Wi5SHXkyR585T8ySpnD57CvEeUhHrikOaxymk8mX2qeQrLpSnVLtJt+Z+W8ErZGEV+5rX8BcgeUFhimEFKQNkw3QwkHWauypGE/5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2023-05-04T20:35:00Z</dcterms:created>
  <dc:creator>LauraMorenoPerez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0x0101004858EBB80E8B534385A370111876C40B</vt:lpwstr>
  </property>
  <property fmtid="{D5CDD505-2E9C-101B-9397-08002B2CF9AE}" pid="3" name="MediaServiceImageTags">
    <vt:lpwstr/>
  </property>
</Properties>
</file>