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0C" w:rsidRDefault="007E1F0C">
      <w:pPr>
        <w:widowControl w:val="0"/>
        <w:pBdr>
          <w:top w:val="nil"/>
          <w:left w:val="nil"/>
          <w:bottom w:val="nil"/>
          <w:right w:val="nil"/>
          <w:between w:val="nil"/>
        </w:pBdr>
        <w:spacing w:after="0" w:line="240" w:lineRule="auto"/>
        <w:rPr>
          <w:color w:val="000000"/>
        </w:rPr>
      </w:pPr>
      <w:bookmarkStart w:id="0" w:name="_GoBack"/>
      <w:bookmarkEnd w:id="0"/>
    </w:p>
    <w:tbl>
      <w:tblPr>
        <w:tblStyle w:val="a"/>
        <w:tblW w:w="10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6"/>
        <w:gridCol w:w="707"/>
        <w:gridCol w:w="3119"/>
        <w:gridCol w:w="5408"/>
      </w:tblGrid>
      <w:tr w:rsidR="007E1F0C" w:rsidTr="0038184C">
        <w:trPr>
          <w:trHeight w:val="1986"/>
          <w:jc w:val="center"/>
        </w:trPr>
        <w:tc>
          <w:tcPr>
            <w:tcW w:w="2263" w:type="dxa"/>
            <w:gridSpan w:val="2"/>
          </w:tcPr>
          <w:p w:rsidR="007E1F0C" w:rsidRPr="009347E3" w:rsidRDefault="0038184C">
            <w:pPr>
              <w:rPr>
                <w:b/>
              </w:rPr>
            </w:pPr>
            <w:r w:rsidRPr="009347E3">
              <w:rPr>
                <w:noProof/>
              </w:rPr>
              <w:drawing>
                <wp:anchor distT="0" distB="0" distL="114300" distR="114300" simplePos="0" relativeHeight="251658240" behindDoc="0" locked="0" layoutInCell="1" hidden="0" allowOverlap="1">
                  <wp:simplePos x="0" y="0"/>
                  <wp:positionH relativeFrom="column">
                    <wp:posOffset>201930</wp:posOffset>
                  </wp:positionH>
                  <wp:positionV relativeFrom="paragraph">
                    <wp:posOffset>166370</wp:posOffset>
                  </wp:positionV>
                  <wp:extent cx="950595" cy="1180465"/>
                  <wp:effectExtent l="0" t="0" r="0" b="0"/>
                  <wp:wrapSquare wrapText="bothSides" distT="0" distB="0" distL="114300" distR="114300"/>
                  <wp:docPr id="1" name="image1.pn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png" descr="http://t1.gstatic.com/images?q=tbn:3jV1zo04SQ9uzM:http://jerico-antioquia.gov.co/apc-aa-files/65346435306135656234636135646632/udea2.png"/>
                          <pic:cNvPicPr preferRelativeResize="0"/>
                        </pic:nvPicPr>
                        <pic:blipFill>
                          <a:blip r:embed="rId5"/>
                          <a:srcRect/>
                          <a:stretch>
                            <a:fillRect/>
                          </a:stretch>
                        </pic:blipFill>
                        <pic:spPr>
                          <a:xfrm>
                            <a:off x="0" y="0"/>
                            <a:ext cx="950595" cy="1180465"/>
                          </a:xfrm>
                          <a:prstGeom prst="rect">
                            <a:avLst/>
                          </a:prstGeom>
                          <a:ln/>
                        </pic:spPr>
                      </pic:pic>
                    </a:graphicData>
                  </a:graphic>
                </wp:anchor>
              </w:drawing>
            </w:r>
          </w:p>
        </w:tc>
        <w:tc>
          <w:tcPr>
            <w:tcW w:w="8527" w:type="dxa"/>
            <w:gridSpan w:val="2"/>
          </w:tcPr>
          <w:p w:rsidR="007E1F0C" w:rsidRPr="009347E3" w:rsidRDefault="007E1F0C">
            <w:pPr>
              <w:jc w:val="center"/>
              <w:rPr>
                <w:b/>
              </w:rPr>
            </w:pPr>
          </w:p>
          <w:p w:rsidR="007E1F0C" w:rsidRPr="009347E3" w:rsidRDefault="0038184C">
            <w:pPr>
              <w:jc w:val="center"/>
              <w:rPr>
                <w:b/>
              </w:rPr>
            </w:pPr>
            <w:r w:rsidRPr="009347E3">
              <w:rPr>
                <w:b/>
              </w:rPr>
              <w:t>UNIVERSIDAD DE ANTIOQUIA</w:t>
            </w:r>
          </w:p>
          <w:p w:rsidR="007E1F0C" w:rsidRPr="009347E3" w:rsidRDefault="0038184C">
            <w:pPr>
              <w:jc w:val="center"/>
              <w:rPr>
                <w:b/>
              </w:rPr>
            </w:pPr>
            <w:r w:rsidRPr="009347E3">
              <w:rPr>
                <w:b/>
              </w:rPr>
              <w:t>Invitación pública para contratos de prestación de servicios de ejecución personal</w:t>
            </w:r>
          </w:p>
          <w:p w:rsidR="007E1F0C" w:rsidRPr="009347E3" w:rsidRDefault="007E1F0C">
            <w:pPr>
              <w:rPr>
                <w:b/>
              </w:rPr>
            </w:pPr>
          </w:p>
          <w:p w:rsidR="007E1F0C" w:rsidRDefault="0038184C">
            <w:pPr>
              <w:rPr>
                <w:b/>
              </w:rPr>
            </w:pPr>
            <w:r w:rsidRPr="009347E3">
              <w:rPr>
                <w:b/>
              </w:rPr>
              <w:t>Unidad Académica o Administrativa:</w:t>
            </w:r>
            <w:r>
              <w:rPr>
                <w:b/>
              </w:rPr>
              <w:t xml:space="preserve"> </w:t>
            </w:r>
            <w:r w:rsidRPr="009347E3">
              <w:rPr>
                <w:b/>
              </w:rPr>
              <w:t xml:space="preserve">Permanencia Universitaria Vicerrectoría de Docencia </w:t>
            </w:r>
          </w:p>
          <w:p w:rsidR="0038184C" w:rsidRPr="009347E3" w:rsidRDefault="0038184C">
            <w:pPr>
              <w:rPr>
                <w:b/>
              </w:rPr>
            </w:pPr>
          </w:p>
          <w:p w:rsidR="0038184C" w:rsidRPr="0038184C" w:rsidRDefault="0038184C">
            <w:pPr>
              <w:rPr>
                <w:b/>
              </w:rPr>
            </w:pPr>
            <w:r w:rsidRPr="009347E3">
              <w:rPr>
                <w:b/>
              </w:rPr>
              <w:t>Número de invitación:</w:t>
            </w:r>
            <w:r w:rsidR="009347E3">
              <w:rPr>
                <w:b/>
              </w:rPr>
              <w:t xml:space="preserve"> </w:t>
            </w:r>
            <w:r w:rsidRPr="0038184C">
              <w:rPr>
                <w:b/>
              </w:rPr>
              <w:t>VD20160001-018-2022</w:t>
            </w:r>
          </w:p>
          <w:p w:rsidR="007E1F0C" w:rsidRPr="009347E3" w:rsidRDefault="0038184C">
            <w:pPr>
              <w:rPr>
                <w:b/>
              </w:rPr>
            </w:pPr>
            <w:r w:rsidRPr="009347E3">
              <w:rPr>
                <w:b/>
              </w:rPr>
              <w:t>Fecha: 29/03/2022</w:t>
            </w:r>
          </w:p>
        </w:tc>
      </w:tr>
      <w:tr w:rsidR="007E1F0C">
        <w:trPr>
          <w:jc w:val="center"/>
        </w:trPr>
        <w:tc>
          <w:tcPr>
            <w:tcW w:w="10790" w:type="dxa"/>
            <w:gridSpan w:val="4"/>
            <w:shd w:val="clear" w:color="auto" w:fill="E2EFD9"/>
            <w:vAlign w:val="center"/>
          </w:tcPr>
          <w:p w:rsidR="007E1F0C" w:rsidRPr="009347E3" w:rsidRDefault="0038184C">
            <w:pPr>
              <w:jc w:val="center"/>
              <w:rPr>
                <w:b/>
              </w:rPr>
            </w:pPr>
            <w:r w:rsidRPr="009347E3">
              <w:rPr>
                <w:b/>
              </w:rPr>
              <w:t>INFORMACIÓN GENERAL</w:t>
            </w:r>
          </w:p>
        </w:tc>
      </w:tr>
      <w:tr w:rsidR="007E1F0C" w:rsidTr="0038184C">
        <w:trPr>
          <w:trHeight w:val="220"/>
          <w:jc w:val="center"/>
        </w:trPr>
        <w:tc>
          <w:tcPr>
            <w:tcW w:w="2263" w:type="dxa"/>
            <w:gridSpan w:val="2"/>
            <w:vAlign w:val="center"/>
          </w:tcPr>
          <w:p w:rsidR="007E1F0C" w:rsidRPr="009347E3" w:rsidRDefault="0038184C">
            <w:r w:rsidRPr="009347E3">
              <w:t>Objeto</w:t>
            </w:r>
          </w:p>
        </w:tc>
        <w:tc>
          <w:tcPr>
            <w:tcW w:w="8527" w:type="dxa"/>
            <w:gridSpan w:val="2"/>
            <w:vAlign w:val="center"/>
          </w:tcPr>
          <w:p w:rsidR="007E1F0C" w:rsidRPr="009347E3" w:rsidRDefault="0038184C">
            <w:pPr>
              <w:jc w:val="both"/>
            </w:pPr>
            <w:r w:rsidRPr="009347E3">
              <w:t xml:space="preserve">Lo constituye la prestación de servicios personales por parte de EL CONTRATISTA, en su calidad como profesional con experiencia en educación e investigación en lenguas y lenguajes, desde perspectivas críticas y académicas, en contextos escolares y universitarios. Con conocimiento en diseño curricular y prácticas educativas en ambientes presenciales y virtuales de enseñanza-aprendizaje. Para realizar procesos de gestión de estrategias articuladas de acompañamiento para el fortalecimiento académico de estudiantes de pregrado en la Universidad de Antioquia. </w:t>
            </w:r>
          </w:p>
        </w:tc>
      </w:tr>
      <w:tr w:rsidR="007E1F0C" w:rsidTr="0038184C">
        <w:trPr>
          <w:trHeight w:val="220"/>
          <w:jc w:val="center"/>
        </w:trPr>
        <w:tc>
          <w:tcPr>
            <w:tcW w:w="2263" w:type="dxa"/>
            <w:gridSpan w:val="2"/>
            <w:vAlign w:val="center"/>
          </w:tcPr>
          <w:p w:rsidR="007E1F0C" w:rsidRPr="009347E3" w:rsidRDefault="0038184C">
            <w:r w:rsidRPr="009347E3">
              <w:t>Obligaciones</w:t>
            </w:r>
          </w:p>
          <w:p w:rsidR="007E1F0C" w:rsidRPr="009347E3" w:rsidRDefault="0038184C">
            <w:r w:rsidRPr="009347E3">
              <w:t>Especificas</w:t>
            </w:r>
          </w:p>
        </w:tc>
        <w:tc>
          <w:tcPr>
            <w:tcW w:w="8527" w:type="dxa"/>
            <w:gridSpan w:val="2"/>
            <w:vAlign w:val="center"/>
          </w:tcPr>
          <w:p w:rsidR="007E1F0C" w:rsidRPr="009347E3" w:rsidRDefault="0038184C">
            <w:pPr>
              <w:numPr>
                <w:ilvl w:val="0"/>
                <w:numId w:val="2"/>
              </w:numPr>
              <w:jc w:val="both"/>
            </w:pPr>
            <w:r w:rsidRPr="009347E3">
              <w:t xml:space="preserve">Contribuir a la configuración, implementación y evaluación de las estrategias de acompañamiento para el fortalecimiento académico de estudiantes de pregrado en Ciudad Universitaria. </w:t>
            </w:r>
          </w:p>
          <w:p w:rsidR="007E1F0C" w:rsidRPr="009347E3" w:rsidRDefault="0038184C">
            <w:pPr>
              <w:numPr>
                <w:ilvl w:val="0"/>
                <w:numId w:val="2"/>
              </w:numPr>
              <w:jc w:val="both"/>
            </w:pPr>
            <w:r w:rsidRPr="009347E3">
              <w:t xml:space="preserve">Dinamizar estrategias articuladas de asesoría académica desde las apuestas de fortalecimiento en las prácticas LEO. </w:t>
            </w:r>
          </w:p>
          <w:p w:rsidR="007E1F0C" w:rsidRPr="009347E3" w:rsidRDefault="0038184C">
            <w:pPr>
              <w:numPr>
                <w:ilvl w:val="0"/>
                <w:numId w:val="2"/>
              </w:numPr>
              <w:jc w:val="both"/>
            </w:pPr>
            <w:r w:rsidRPr="009347E3">
              <w:t>Aportar a la propuesta cualificada de Rutas articuladas de acompañamiento a los ciclos de vida universitarios, desde el asunto que se tiene a cargo.</w:t>
            </w:r>
          </w:p>
          <w:p w:rsidR="007E1F0C" w:rsidRPr="009347E3" w:rsidRDefault="0038184C">
            <w:pPr>
              <w:numPr>
                <w:ilvl w:val="0"/>
                <w:numId w:val="2"/>
              </w:numPr>
              <w:jc w:val="both"/>
            </w:pPr>
            <w:r w:rsidRPr="009347E3">
              <w:t xml:space="preserve">Realizar informes mensuales y finales sobre el proceso de acompañamiento. </w:t>
            </w:r>
          </w:p>
          <w:p w:rsidR="007E1F0C" w:rsidRPr="009347E3" w:rsidRDefault="0038184C">
            <w:pPr>
              <w:numPr>
                <w:ilvl w:val="0"/>
                <w:numId w:val="2"/>
              </w:numPr>
              <w:jc w:val="both"/>
            </w:pPr>
            <w:r w:rsidRPr="009347E3">
              <w:t xml:space="preserve">Asistir a reuniones programadas como plenarias de Permanencia y propias del nicho de Acompañamiento. </w:t>
            </w:r>
          </w:p>
        </w:tc>
      </w:tr>
      <w:tr w:rsidR="007E1F0C" w:rsidTr="0038184C">
        <w:trPr>
          <w:trHeight w:val="220"/>
          <w:jc w:val="center"/>
        </w:trPr>
        <w:tc>
          <w:tcPr>
            <w:tcW w:w="2263" w:type="dxa"/>
            <w:gridSpan w:val="2"/>
            <w:vAlign w:val="center"/>
          </w:tcPr>
          <w:p w:rsidR="007E1F0C" w:rsidRPr="009347E3" w:rsidRDefault="0038184C">
            <w:r w:rsidRPr="009347E3">
              <w:t>Entregables</w:t>
            </w:r>
          </w:p>
        </w:tc>
        <w:tc>
          <w:tcPr>
            <w:tcW w:w="8527" w:type="dxa"/>
            <w:gridSpan w:val="2"/>
            <w:vAlign w:val="center"/>
          </w:tcPr>
          <w:p w:rsidR="007E1F0C" w:rsidRPr="009347E3" w:rsidRDefault="0038184C">
            <w:pPr>
              <w:numPr>
                <w:ilvl w:val="0"/>
                <w:numId w:val="3"/>
              </w:numPr>
              <w:jc w:val="both"/>
            </w:pPr>
            <w:r w:rsidRPr="009347E3">
              <w:t xml:space="preserve">Aporte a la construcción de la Ruta de Acompañamiento para el fortalecimiento de prácticas LEO. </w:t>
            </w:r>
          </w:p>
          <w:p w:rsidR="007E1F0C" w:rsidRPr="009347E3" w:rsidRDefault="0038184C">
            <w:pPr>
              <w:numPr>
                <w:ilvl w:val="0"/>
                <w:numId w:val="3"/>
              </w:numPr>
              <w:jc w:val="both"/>
            </w:pPr>
            <w:r w:rsidRPr="009347E3">
              <w:t xml:space="preserve">Có-construcción de informes compilados desde el proceso de Fortalecimiento en LEO. </w:t>
            </w:r>
          </w:p>
          <w:p w:rsidR="007E1F0C" w:rsidRPr="009347E3" w:rsidRDefault="0038184C">
            <w:pPr>
              <w:numPr>
                <w:ilvl w:val="0"/>
                <w:numId w:val="3"/>
              </w:numPr>
              <w:jc w:val="both"/>
            </w:pPr>
            <w:r w:rsidRPr="009347E3">
              <w:t xml:space="preserve">Informes individuales. </w:t>
            </w:r>
          </w:p>
          <w:p w:rsidR="007E1F0C" w:rsidRPr="009347E3" w:rsidRDefault="0038184C">
            <w:pPr>
              <w:numPr>
                <w:ilvl w:val="0"/>
                <w:numId w:val="3"/>
              </w:numPr>
              <w:jc w:val="both"/>
            </w:pPr>
            <w:r w:rsidRPr="009347E3">
              <w:t xml:space="preserve">Insumos y evidencias del acompañamiento y la gestión desde el Nicho de Acompañamientos y el proceso de fortalecimiento en LEO. </w:t>
            </w:r>
          </w:p>
        </w:tc>
      </w:tr>
      <w:tr w:rsidR="007E1F0C" w:rsidTr="0038184C">
        <w:trPr>
          <w:trHeight w:val="220"/>
          <w:jc w:val="center"/>
        </w:trPr>
        <w:tc>
          <w:tcPr>
            <w:tcW w:w="2263" w:type="dxa"/>
            <w:gridSpan w:val="2"/>
            <w:vAlign w:val="center"/>
          </w:tcPr>
          <w:p w:rsidR="007E1F0C" w:rsidRDefault="0038184C">
            <w:r>
              <w:t>Sede de actividades</w:t>
            </w:r>
          </w:p>
        </w:tc>
        <w:tc>
          <w:tcPr>
            <w:tcW w:w="8527" w:type="dxa"/>
            <w:gridSpan w:val="2"/>
            <w:vAlign w:val="center"/>
          </w:tcPr>
          <w:p w:rsidR="007E1F0C" w:rsidRDefault="0038184C">
            <w:r>
              <w:t>Calle 67 # 53-108 ciudad universitaria y sus sedes</w:t>
            </w:r>
          </w:p>
        </w:tc>
      </w:tr>
      <w:tr w:rsidR="007E1F0C" w:rsidTr="0038184C">
        <w:trPr>
          <w:trHeight w:val="220"/>
          <w:jc w:val="center"/>
        </w:trPr>
        <w:tc>
          <w:tcPr>
            <w:tcW w:w="2263" w:type="dxa"/>
            <w:gridSpan w:val="2"/>
            <w:vAlign w:val="center"/>
          </w:tcPr>
          <w:p w:rsidR="007E1F0C" w:rsidRDefault="0038184C">
            <w:r>
              <w:t>Honorarios totales</w:t>
            </w:r>
          </w:p>
        </w:tc>
        <w:tc>
          <w:tcPr>
            <w:tcW w:w="8527" w:type="dxa"/>
            <w:gridSpan w:val="2"/>
            <w:vAlign w:val="center"/>
          </w:tcPr>
          <w:p w:rsidR="007E1F0C" w:rsidRPr="00F765E6" w:rsidRDefault="0038184C">
            <w:r w:rsidRPr="00F765E6">
              <w:t xml:space="preserve"> Veintiséis millones doscientos sesenta y cinco mil pesos</w:t>
            </w:r>
            <w:r>
              <w:t xml:space="preserve"> </w:t>
            </w:r>
            <w:r w:rsidRPr="00F765E6">
              <w:t>(</w:t>
            </w:r>
            <w:r>
              <w:t>$</w:t>
            </w:r>
            <w:r w:rsidRPr="00F765E6">
              <w:t>26.265.000)</w:t>
            </w:r>
          </w:p>
        </w:tc>
      </w:tr>
      <w:tr w:rsidR="007E1F0C" w:rsidTr="0038184C">
        <w:trPr>
          <w:trHeight w:val="220"/>
          <w:jc w:val="center"/>
        </w:trPr>
        <w:tc>
          <w:tcPr>
            <w:tcW w:w="2263" w:type="dxa"/>
            <w:gridSpan w:val="2"/>
            <w:vAlign w:val="center"/>
          </w:tcPr>
          <w:p w:rsidR="007E1F0C" w:rsidRDefault="0038184C">
            <w:r>
              <w:t>Duración</w:t>
            </w:r>
          </w:p>
        </w:tc>
        <w:tc>
          <w:tcPr>
            <w:tcW w:w="8527" w:type="dxa"/>
            <w:gridSpan w:val="2"/>
            <w:vAlign w:val="center"/>
          </w:tcPr>
          <w:p w:rsidR="007E1F0C" w:rsidRPr="00F765E6" w:rsidRDefault="0038184C">
            <w:r w:rsidRPr="00F765E6">
              <w:t>Ocho meses y 15 días (8.5 meses)</w:t>
            </w:r>
          </w:p>
        </w:tc>
      </w:tr>
      <w:tr w:rsidR="007E1F0C" w:rsidTr="0038184C">
        <w:trPr>
          <w:trHeight w:val="220"/>
          <w:jc w:val="center"/>
        </w:trPr>
        <w:tc>
          <w:tcPr>
            <w:tcW w:w="2263" w:type="dxa"/>
            <w:gridSpan w:val="2"/>
            <w:vAlign w:val="center"/>
          </w:tcPr>
          <w:p w:rsidR="007E1F0C" w:rsidRDefault="0038184C">
            <w:r>
              <w:t>Convenio o contrato que lo respalda.</w:t>
            </w:r>
          </w:p>
        </w:tc>
        <w:tc>
          <w:tcPr>
            <w:tcW w:w="8527" w:type="dxa"/>
            <w:gridSpan w:val="2"/>
            <w:vAlign w:val="center"/>
          </w:tcPr>
          <w:p w:rsidR="007E1F0C" w:rsidRPr="00F765E6" w:rsidRDefault="0038184C">
            <w:r w:rsidRPr="00F765E6">
              <w:t>Plan de Accion Institucional 2021-2024, proyecto “UJAMAA: Formalización de la permanencia, la inclusión y la accesibilidad universitaria con criterios de equidad y corresponsabilidad” (11010009</w:t>
            </w:r>
            <w:r>
              <w:t xml:space="preserve"> -</w:t>
            </w:r>
            <w:r w:rsidRPr="00F765E6">
              <w:t xml:space="preserve"> FC90210002)</w:t>
            </w:r>
          </w:p>
        </w:tc>
      </w:tr>
      <w:tr w:rsidR="007E1F0C" w:rsidTr="0038184C">
        <w:trPr>
          <w:trHeight w:val="220"/>
          <w:jc w:val="center"/>
        </w:trPr>
        <w:tc>
          <w:tcPr>
            <w:tcW w:w="2263" w:type="dxa"/>
            <w:gridSpan w:val="2"/>
            <w:vAlign w:val="center"/>
          </w:tcPr>
          <w:p w:rsidR="007E1F0C" w:rsidRDefault="0038184C">
            <w:r>
              <w:t>Disponibilidad presupuestal</w:t>
            </w:r>
          </w:p>
        </w:tc>
        <w:tc>
          <w:tcPr>
            <w:tcW w:w="8527" w:type="dxa"/>
            <w:gridSpan w:val="2"/>
            <w:vAlign w:val="center"/>
          </w:tcPr>
          <w:p w:rsidR="007E1F0C" w:rsidRPr="00F765E6" w:rsidRDefault="0038184C">
            <w:bookmarkStart w:id="1" w:name="_gjdgxs" w:colFirst="0" w:colLast="0"/>
            <w:bookmarkEnd w:id="1"/>
            <w:r w:rsidRPr="00F765E6">
              <w:t>Certificado de Disponibilidad Presupuestal (CDP) No. 1000909729 del 18 de marzo de 2022</w:t>
            </w:r>
          </w:p>
        </w:tc>
      </w:tr>
      <w:tr w:rsidR="007E1F0C" w:rsidTr="0038184C">
        <w:trPr>
          <w:trHeight w:val="220"/>
          <w:jc w:val="center"/>
        </w:trPr>
        <w:tc>
          <w:tcPr>
            <w:tcW w:w="2263" w:type="dxa"/>
            <w:gridSpan w:val="2"/>
            <w:vAlign w:val="center"/>
          </w:tcPr>
          <w:p w:rsidR="007E1F0C" w:rsidRDefault="0038184C">
            <w:r>
              <w:t>Número de personas requeridas</w:t>
            </w:r>
          </w:p>
        </w:tc>
        <w:tc>
          <w:tcPr>
            <w:tcW w:w="8527" w:type="dxa"/>
            <w:gridSpan w:val="2"/>
            <w:vAlign w:val="center"/>
          </w:tcPr>
          <w:p w:rsidR="007E1F0C" w:rsidRDefault="0038184C">
            <w:r>
              <w:t>Una (1)</w:t>
            </w:r>
          </w:p>
        </w:tc>
      </w:tr>
      <w:tr w:rsidR="007E1F0C">
        <w:trPr>
          <w:trHeight w:val="70"/>
          <w:jc w:val="center"/>
        </w:trPr>
        <w:tc>
          <w:tcPr>
            <w:tcW w:w="10790" w:type="dxa"/>
            <w:gridSpan w:val="4"/>
            <w:shd w:val="clear" w:color="auto" w:fill="E2EFD9"/>
            <w:vAlign w:val="center"/>
          </w:tcPr>
          <w:p w:rsidR="007E1F0C" w:rsidRDefault="0038184C">
            <w:pPr>
              <w:jc w:val="center"/>
              <w:rPr>
                <w:b/>
              </w:rPr>
            </w:pPr>
            <w:r>
              <w:rPr>
                <w:b/>
              </w:rPr>
              <w:t>CRONOGRAMA</w:t>
            </w:r>
          </w:p>
        </w:tc>
      </w:tr>
      <w:tr w:rsidR="007E1F0C" w:rsidTr="0038184C">
        <w:trPr>
          <w:jc w:val="center"/>
        </w:trPr>
        <w:tc>
          <w:tcPr>
            <w:tcW w:w="2263" w:type="dxa"/>
            <w:gridSpan w:val="2"/>
            <w:vAlign w:val="center"/>
          </w:tcPr>
          <w:p w:rsidR="007E1F0C" w:rsidRDefault="0038184C">
            <w:r>
              <w:t>Fecha de apertura y publicación</w:t>
            </w:r>
          </w:p>
        </w:tc>
        <w:tc>
          <w:tcPr>
            <w:tcW w:w="8527" w:type="dxa"/>
            <w:gridSpan w:val="2"/>
            <w:vAlign w:val="center"/>
          </w:tcPr>
          <w:p w:rsidR="007E1F0C" w:rsidRDefault="0038184C">
            <w:r w:rsidRPr="00F765E6">
              <w:t>31 de marzo del 2022</w:t>
            </w:r>
          </w:p>
        </w:tc>
      </w:tr>
      <w:tr w:rsidR="007E1F0C" w:rsidTr="0038184C">
        <w:trPr>
          <w:jc w:val="center"/>
        </w:trPr>
        <w:tc>
          <w:tcPr>
            <w:tcW w:w="2263" w:type="dxa"/>
            <w:gridSpan w:val="2"/>
            <w:vAlign w:val="center"/>
          </w:tcPr>
          <w:p w:rsidR="007E1F0C" w:rsidRDefault="0038184C">
            <w:r>
              <w:t>Medio de Publicación</w:t>
            </w:r>
          </w:p>
        </w:tc>
        <w:tc>
          <w:tcPr>
            <w:tcW w:w="8527" w:type="dxa"/>
            <w:gridSpan w:val="2"/>
            <w:vAlign w:val="center"/>
          </w:tcPr>
          <w:p w:rsidR="007E1F0C" w:rsidRDefault="0038184C">
            <w:r>
              <w:t>El Portal Universitario de la Universidad de Antioquia (</w:t>
            </w:r>
            <w:hyperlink r:id="rId6">
              <w:r>
                <w:rPr>
                  <w:color w:val="0000FF"/>
                  <w:u w:val="single"/>
                </w:rPr>
                <w:t>www.udea.edu.co</w:t>
              </w:r>
            </w:hyperlink>
            <w:r>
              <w:t>).</w:t>
            </w:r>
          </w:p>
        </w:tc>
      </w:tr>
      <w:tr w:rsidR="007E1F0C" w:rsidTr="0038184C">
        <w:trPr>
          <w:jc w:val="center"/>
        </w:trPr>
        <w:tc>
          <w:tcPr>
            <w:tcW w:w="2263" w:type="dxa"/>
            <w:gridSpan w:val="2"/>
            <w:vAlign w:val="center"/>
          </w:tcPr>
          <w:p w:rsidR="007E1F0C" w:rsidRDefault="0038184C">
            <w:r>
              <w:t>Cierre de la Invitación Públ</w:t>
            </w:r>
          </w:p>
        </w:tc>
        <w:tc>
          <w:tcPr>
            <w:tcW w:w="8527" w:type="dxa"/>
            <w:gridSpan w:val="2"/>
            <w:vAlign w:val="center"/>
          </w:tcPr>
          <w:p w:rsidR="007E1F0C" w:rsidRDefault="00F765E6">
            <w:pPr>
              <w:jc w:val="both"/>
              <w:rPr>
                <w:b/>
              </w:rPr>
            </w:pPr>
            <w:r>
              <w:t>7</w:t>
            </w:r>
            <w:r w:rsidR="0038184C">
              <w:t xml:space="preserve"> de abril del 2022 - </w:t>
            </w:r>
            <w:r w:rsidR="0038184C">
              <w:rPr>
                <w:b/>
              </w:rPr>
              <w:t>Hora: 18:00 hora legal colombiana señalada por el Instituto de Metrología.</w:t>
            </w:r>
          </w:p>
          <w:p w:rsidR="007E1F0C" w:rsidRDefault="0038184C">
            <w:pPr>
              <w:jc w:val="both"/>
              <w:rPr>
                <w:highlight w:val="red"/>
              </w:rPr>
            </w:pPr>
            <w:r>
              <w:t xml:space="preserve">El resultado de esta invitación será publicado dentro de los cinco (5) días hábiles siguientes a la fecha de cierre de dicha invitación y podrá consultarse en el mismo sitio de la página de la Universidad de Antioquia. El resultado permanecerá publicado durante 1 día hábil para que </w:t>
            </w:r>
            <w:r>
              <w:lastRenderedPageBreak/>
              <w:t xml:space="preserve">los oferentes revisen y presenten las objeciones a que haya lugar, a través del correo: </w:t>
            </w:r>
            <w:hyperlink r:id="rId7">
              <w:r>
                <w:rPr>
                  <w:color w:val="0000FF"/>
                  <w:u w:val="single"/>
                </w:rPr>
                <w:t>cleo.cree@udea.edu.co</w:t>
              </w:r>
            </w:hyperlink>
            <w:r>
              <w:t xml:space="preserve"> pasado dicho tiempo se entenderá como aceptado el resultado de la invitación y se procederá con el proceso de contratación.</w:t>
            </w:r>
          </w:p>
        </w:tc>
      </w:tr>
      <w:tr w:rsidR="007E1F0C" w:rsidTr="0038184C">
        <w:trPr>
          <w:jc w:val="center"/>
        </w:trPr>
        <w:tc>
          <w:tcPr>
            <w:tcW w:w="2263" w:type="dxa"/>
            <w:gridSpan w:val="2"/>
            <w:vAlign w:val="center"/>
          </w:tcPr>
          <w:p w:rsidR="007E1F0C" w:rsidRDefault="0038184C">
            <w:r>
              <w:lastRenderedPageBreak/>
              <w:t>Lugar</w:t>
            </w:r>
          </w:p>
        </w:tc>
        <w:tc>
          <w:tcPr>
            <w:tcW w:w="8527" w:type="dxa"/>
            <w:gridSpan w:val="2"/>
            <w:vAlign w:val="center"/>
          </w:tcPr>
          <w:p w:rsidR="007E1F0C" w:rsidRDefault="0038184C">
            <w:r w:rsidRPr="00F765E6">
              <w:t xml:space="preserve">Las hojas de vida de los aspirantes, los soportes de estudios y experiencia, deben ser enviadas en formato PDF de manera digital al correo electrónico </w:t>
            </w:r>
            <w:hyperlink r:id="rId8">
              <w:r w:rsidRPr="00F765E6">
                <w:rPr>
                  <w:color w:val="0000FF"/>
                  <w:u w:val="single"/>
                </w:rPr>
                <w:t>cleo.cree@udea.edu.co</w:t>
              </w:r>
            </w:hyperlink>
            <w:r w:rsidRPr="00F765E6">
              <w:t xml:space="preserve"> hasta e</w:t>
            </w:r>
            <w:r w:rsidR="00F765E6" w:rsidRPr="00F765E6">
              <w:t>l 7</w:t>
            </w:r>
            <w:r w:rsidRPr="00F765E6">
              <w:t xml:space="preserve"> de abril del 2022 a las </w:t>
            </w:r>
            <w:r w:rsidR="00F765E6" w:rsidRPr="00F765E6">
              <w:t>18</w:t>
            </w:r>
            <w:r w:rsidRPr="00F765E6">
              <w:t>:00 p.m. hora colombiana.</w:t>
            </w:r>
          </w:p>
        </w:tc>
      </w:tr>
      <w:tr w:rsidR="007E1F0C">
        <w:trPr>
          <w:trHeight w:val="283"/>
          <w:jc w:val="center"/>
        </w:trPr>
        <w:tc>
          <w:tcPr>
            <w:tcW w:w="10790" w:type="dxa"/>
            <w:gridSpan w:val="4"/>
            <w:shd w:val="clear" w:color="auto" w:fill="E2EFD9"/>
            <w:vAlign w:val="center"/>
          </w:tcPr>
          <w:p w:rsidR="007E1F0C" w:rsidRDefault="0038184C">
            <w:pPr>
              <w:jc w:val="center"/>
              <w:rPr>
                <w:b/>
              </w:rPr>
            </w:pPr>
            <w:r>
              <w:rPr>
                <w:b/>
              </w:rPr>
              <w:t>PERFIL MÍNIMO REQUERIDO</w:t>
            </w:r>
          </w:p>
        </w:tc>
      </w:tr>
      <w:tr w:rsidR="007E1F0C">
        <w:trPr>
          <w:jc w:val="center"/>
        </w:trPr>
        <w:tc>
          <w:tcPr>
            <w:tcW w:w="1556" w:type="dxa"/>
            <w:shd w:val="clear" w:color="auto" w:fill="FFFFFF"/>
            <w:vAlign w:val="center"/>
          </w:tcPr>
          <w:p w:rsidR="007E1F0C" w:rsidRPr="00F765E6" w:rsidRDefault="0038184C">
            <w:pPr>
              <w:jc w:val="center"/>
            </w:pPr>
            <w:r w:rsidRPr="00F765E6">
              <w:t>Estudios de educación formal</w:t>
            </w:r>
          </w:p>
        </w:tc>
        <w:tc>
          <w:tcPr>
            <w:tcW w:w="3826" w:type="dxa"/>
            <w:gridSpan w:val="2"/>
            <w:shd w:val="clear" w:color="auto" w:fill="FFFFFF"/>
            <w:vAlign w:val="center"/>
          </w:tcPr>
          <w:p w:rsidR="007E1F0C" w:rsidRPr="00F765E6" w:rsidRDefault="0038184C">
            <w:pPr>
              <w:jc w:val="center"/>
              <w:rPr>
                <w:b/>
              </w:rPr>
            </w:pPr>
            <w:r w:rsidRPr="00F765E6">
              <w:rPr>
                <w:b/>
              </w:rPr>
              <w:t>Título Universitario</w:t>
            </w:r>
          </w:p>
          <w:p w:rsidR="007E1F0C" w:rsidRPr="00F765E6" w:rsidRDefault="0038184C">
            <w:pPr>
              <w:jc w:val="both"/>
              <w:rPr>
                <w:i/>
              </w:rPr>
            </w:pPr>
            <w:r w:rsidRPr="00F765E6">
              <w:t>Profesional con experiencia en educación e investigación en lenguas desde perspectivas críticas y académicas, en contextos escolares y universitarios. Con conocimiento en diseño curricular y prácticas educativas en ambientes presenciales y virtuales de enseñanza-aprendizaje.</w:t>
            </w:r>
          </w:p>
        </w:tc>
        <w:tc>
          <w:tcPr>
            <w:tcW w:w="5408" w:type="dxa"/>
            <w:shd w:val="clear" w:color="auto" w:fill="FFFFFF"/>
            <w:vAlign w:val="center"/>
          </w:tcPr>
          <w:p w:rsidR="007E1F0C" w:rsidRDefault="0038184C">
            <w:pPr>
              <w:jc w:val="both"/>
              <w:rPr>
                <w:b/>
              </w:rPr>
            </w:pPr>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 Los estudios realizados y los títulos obtenidos en el exterior requerirán para su validez, de la homologación y convalidación por parte del Ministerio de Educación Nacional o de la autoridad competente.</w:t>
            </w:r>
          </w:p>
        </w:tc>
      </w:tr>
      <w:tr w:rsidR="007E1F0C">
        <w:trPr>
          <w:jc w:val="center"/>
        </w:trPr>
        <w:tc>
          <w:tcPr>
            <w:tcW w:w="1556" w:type="dxa"/>
            <w:shd w:val="clear" w:color="auto" w:fill="FFFFFF"/>
            <w:vAlign w:val="center"/>
          </w:tcPr>
          <w:p w:rsidR="007E1F0C" w:rsidRPr="00F765E6" w:rsidRDefault="0038184C">
            <w:pPr>
              <w:jc w:val="center"/>
            </w:pPr>
            <w:r w:rsidRPr="00F765E6">
              <w:t>Experiencia relacionada</w:t>
            </w:r>
          </w:p>
        </w:tc>
        <w:tc>
          <w:tcPr>
            <w:tcW w:w="3826" w:type="dxa"/>
            <w:gridSpan w:val="2"/>
            <w:shd w:val="clear" w:color="auto" w:fill="FFFFFF"/>
            <w:vAlign w:val="center"/>
          </w:tcPr>
          <w:p w:rsidR="007E1F0C" w:rsidRPr="00F765E6" w:rsidRDefault="0038184C">
            <w:pPr>
              <w:jc w:val="both"/>
            </w:pPr>
            <w:r w:rsidRPr="00F765E6">
              <w:t>Experiencia mínima certificable de 3 años.</w:t>
            </w:r>
          </w:p>
        </w:tc>
        <w:tc>
          <w:tcPr>
            <w:tcW w:w="5408" w:type="dxa"/>
            <w:shd w:val="clear" w:color="auto" w:fill="FFFFFF"/>
            <w:vAlign w:val="center"/>
          </w:tcPr>
          <w:p w:rsidR="007E1F0C" w:rsidRDefault="0038184C">
            <w:pPr>
              <w:jc w:val="both"/>
              <w:rPr>
                <w:b/>
              </w:rPr>
            </w:pPr>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tc>
      </w:tr>
      <w:tr w:rsidR="007E1F0C">
        <w:trPr>
          <w:trHeight w:val="227"/>
          <w:jc w:val="center"/>
        </w:trPr>
        <w:tc>
          <w:tcPr>
            <w:tcW w:w="10790" w:type="dxa"/>
            <w:gridSpan w:val="4"/>
            <w:shd w:val="clear" w:color="auto" w:fill="E2EFD9"/>
            <w:vAlign w:val="center"/>
          </w:tcPr>
          <w:p w:rsidR="007E1F0C" w:rsidRDefault="0038184C">
            <w:pPr>
              <w:jc w:val="center"/>
              <w:rPr>
                <w:b/>
              </w:rPr>
            </w:pPr>
            <w:r>
              <w:rPr>
                <w:b/>
              </w:rPr>
              <w:t>REQUISITOS DE PARTICIPACIÓN</w:t>
            </w:r>
          </w:p>
        </w:tc>
      </w:tr>
      <w:tr w:rsidR="007E1F0C">
        <w:trPr>
          <w:trHeight w:val="346"/>
          <w:jc w:val="center"/>
        </w:trPr>
        <w:tc>
          <w:tcPr>
            <w:tcW w:w="10790" w:type="dxa"/>
            <w:gridSpan w:val="4"/>
            <w:shd w:val="clear" w:color="auto" w:fill="auto"/>
          </w:tcPr>
          <w:p w:rsidR="007E1F0C" w:rsidRDefault="0038184C">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rsidR="007E1F0C" w:rsidRDefault="007E1F0C">
            <w:pPr>
              <w:tabs>
                <w:tab w:val="left" w:pos="284"/>
              </w:tabs>
              <w:jc w:val="both"/>
            </w:pPr>
          </w:p>
          <w:p w:rsidR="007E1F0C" w:rsidRDefault="0038184C">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rsidR="007E1F0C" w:rsidRDefault="007E1F0C">
            <w:pPr>
              <w:tabs>
                <w:tab w:val="left" w:pos="284"/>
              </w:tabs>
              <w:jc w:val="both"/>
            </w:pPr>
          </w:p>
          <w:p w:rsidR="007E1F0C" w:rsidRDefault="0038184C">
            <w:pPr>
              <w:tabs>
                <w:tab w:val="left" w:pos="284"/>
              </w:tabs>
              <w:jc w:val="both"/>
            </w:pPr>
            <w:r>
              <w:t>Para efectos de la contratación de prestación de servicios de ejecución personal tener en cuenta la Resolución Rectoral 44964 de 2018.</w:t>
            </w:r>
          </w:p>
        </w:tc>
      </w:tr>
      <w:tr w:rsidR="007E1F0C">
        <w:trPr>
          <w:jc w:val="center"/>
        </w:trPr>
        <w:tc>
          <w:tcPr>
            <w:tcW w:w="10790" w:type="dxa"/>
            <w:gridSpan w:val="4"/>
            <w:shd w:val="clear" w:color="auto" w:fill="E2EFD9"/>
            <w:vAlign w:val="center"/>
          </w:tcPr>
          <w:p w:rsidR="007E1F0C" w:rsidRDefault="0038184C">
            <w:pPr>
              <w:jc w:val="center"/>
              <w:rPr>
                <w:b/>
              </w:rPr>
            </w:pPr>
            <w:r>
              <w:rPr>
                <w:b/>
              </w:rPr>
              <w:t>CRITERIOS DE CALIFICACIÓN</w:t>
            </w:r>
          </w:p>
        </w:tc>
      </w:tr>
      <w:tr w:rsidR="007E1F0C">
        <w:trPr>
          <w:jc w:val="center"/>
        </w:trPr>
        <w:tc>
          <w:tcPr>
            <w:tcW w:w="10790" w:type="dxa"/>
            <w:gridSpan w:val="4"/>
            <w:shd w:val="clear" w:color="auto" w:fill="FFFFFF"/>
          </w:tcPr>
          <w:p w:rsidR="007E1F0C" w:rsidRDefault="0038184C">
            <w:pPr>
              <w:rPr>
                <w:b/>
              </w:rPr>
            </w:pPr>
            <w:r>
              <w:rPr>
                <w:b/>
              </w:rPr>
              <w:t xml:space="preserve">1) FORMACIÓN ACADÉMICA CERTIFICABLE </w:t>
            </w:r>
            <w:r>
              <w:tab/>
            </w:r>
            <w:r>
              <w:tab/>
              <w:t xml:space="preserve">               </w:t>
            </w:r>
            <w:r>
              <w:rPr>
                <w:b/>
              </w:rPr>
              <w:t>Puntaje hasta: 30 puntos</w:t>
            </w:r>
          </w:p>
          <w:p w:rsidR="007E1F0C" w:rsidRDefault="0038184C">
            <w:r>
              <w:t>a. Pregrado</w:t>
            </w:r>
            <w:r>
              <w:tab/>
            </w:r>
            <w:r>
              <w:tab/>
            </w:r>
            <w:r>
              <w:tab/>
            </w:r>
            <w:r>
              <w:tab/>
            </w:r>
            <w:r>
              <w:tab/>
            </w:r>
            <w:r>
              <w:tab/>
            </w:r>
            <w:r>
              <w:tab/>
              <w:t xml:space="preserve"> Hasta 10 puntos</w:t>
            </w:r>
          </w:p>
          <w:p w:rsidR="007E1F0C" w:rsidRDefault="0038184C">
            <w:r>
              <w:t>b. Especialización en área afín a la actividad a desarrollar</w:t>
            </w:r>
            <w:r>
              <w:tab/>
              <w:t xml:space="preserve"> Hasta 20 puntos </w:t>
            </w:r>
          </w:p>
          <w:p w:rsidR="007E1F0C" w:rsidRDefault="0038184C">
            <w:r>
              <w:t>c. Maestría en área afín a la actividad a desarrollar</w:t>
            </w:r>
            <w:r>
              <w:tab/>
            </w:r>
            <w:r>
              <w:tab/>
              <w:t xml:space="preserve"> Hasta 30 puntos</w:t>
            </w:r>
          </w:p>
          <w:p w:rsidR="007E1F0C" w:rsidRDefault="007E1F0C"/>
          <w:p w:rsidR="007E1F0C" w:rsidRDefault="0038184C">
            <w:pPr>
              <w:rPr>
                <w:b/>
              </w:rPr>
            </w:pPr>
            <w:r>
              <w:rPr>
                <w:b/>
              </w:rPr>
              <w:t>2) EXPERIENCIA LABORAL EN EL ÁREA REQUERIDA:</w:t>
            </w:r>
            <w:r>
              <w:tab/>
              <w:t xml:space="preserve">               </w:t>
            </w:r>
            <w:r>
              <w:rPr>
                <w:b/>
              </w:rPr>
              <w:t>Puntaje hasta: 30 puntos</w:t>
            </w:r>
          </w:p>
          <w:p w:rsidR="007E1F0C" w:rsidRDefault="0038184C">
            <w:r>
              <w:t xml:space="preserve">a. </w:t>
            </w:r>
            <w:r>
              <w:rPr>
                <w:color w:val="000000"/>
              </w:rPr>
              <w:t>Experiencia relacionada específica entre 3 a 5 años</w:t>
            </w:r>
            <w:r>
              <w:tab/>
              <w:t xml:space="preserve">                Puntaje 10 </w:t>
            </w:r>
          </w:p>
          <w:p w:rsidR="007E1F0C" w:rsidRDefault="0038184C">
            <w:r>
              <w:t xml:space="preserve">b. </w:t>
            </w:r>
            <w:r>
              <w:rPr>
                <w:color w:val="000000"/>
              </w:rPr>
              <w:t xml:space="preserve">Experiencia relacionada específica entre 5 a 10 años                   </w:t>
            </w:r>
            <w:r>
              <w:t>Puntaje 15</w:t>
            </w:r>
          </w:p>
          <w:p w:rsidR="007E1F0C" w:rsidRDefault="0038184C">
            <w:r>
              <w:t xml:space="preserve">c. </w:t>
            </w:r>
            <w:r>
              <w:rPr>
                <w:color w:val="000000"/>
              </w:rPr>
              <w:t xml:space="preserve">Experiencia relacionada especifica entre 10 a 15 años                 </w:t>
            </w:r>
            <w:r>
              <w:t>Puntaje 30</w:t>
            </w:r>
          </w:p>
          <w:p w:rsidR="007E1F0C" w:rsidRDefault="007E1F0C">
            <w:pPr>
              <w:pBdr>
                <w:top w:val="nil"/>
                <w:left w:val="nil"/>
                <w:bottom w:val="nil"/>
                <w:right w:val="nil"/>
                <w:between w:val="nil"/>
              </w:pBdr>
              <w:ind w:left="-12"/>
              <w:rPr>
                <w:color w:val="000000"/>
              </w:rPr>
            </w:pPr>
          </w:p>
          <w:p w:rsidR="007E1F0C" w:rsidRDefault="0038184C">
            <w:pPr>
              <w:rPr>
                <w:b/>
              </w:rPr>
            </w:pPr>
            <w:r>
              <w:rPr>
                <w:b/>
              </w:rPr>
              <w:t>3) ENTREVISTA:</w:t>
            </w:r>
            <w:r>
              <w:rPr>
                <w:b/>
              </w:rPr>
              <w:tab/>
            </w:r>
            <w:r>
              <w:rPr>
                <w:b/>
              </w:rPr>
              <w:tab/>
            </w:r>
            <w:r>
              <w:rPr>
                <w:b/>
              </w:rPr>
              <w:tab/>
            </w:r>
            <w:r>
              <w:rPr>
                <w:b/>
              </w:rPr>
              <w:tab/>
            </w:r>
            <w:r>
              <w:rPr>
                <w:b/>
              </w:rPr>
              <w:tab/>
              <w:t xml:space="preserve">                             Puntaje hasta: 40 puntos</w:t>
            </w:r>
          </w:p>
          <w:p w:rsidR="007E1F0C" w:rsidRDefault="0038184C">
            <w:r>
              <w:rPr>
                <w:b/>
              </w:rPr>
              <w:t xml:space="preserve">a- </w:t>
            </w:r>
            <w:r>
              <w:t xml:space="preserve">Solvencia y experiencia (docencia y gestión) con procesos </w:t>
            </w:r>
          </w:p>
          <w:p w:rsidR="007E1F0C" w:rsidRDefault="0038184C">
            <w:r>
              <w:t>de fortalecimiento de las prácticas LEO                                              Hasta 40 puntos</w:t>
            </w:r>
          </w:p>
          <w:p w:rsidR="007E1F0C" w:rsidRDefault="007E1F0C"/>
          <w:p w:rsidR="007E1F0C" w:rsidRDefault="0038184C">
            <w:r>
              <w:rPr>
                <w:b/>
              </w:rPr>
              <w:t>PUNTAJE TOTAL</w:t>
            </w:r>
            <w:r>
              <w:rPr>
                <w:b/>
              </w:rPr>
              <w:tab/>
            </w:r>
            <w:r>
              <w:tab/>
            </w:r>
            <w:r>
              <w:tab/>
            </w:r>
            <w:r>
              <w:tab/>
            </w:r>
            <w:r>
              <w:tab/>
              <w:t xml:space="preserve">              </w:t>
            </w:r>
            <w:r>
              <w:rPr>
                <w:b/>
              </w:rPr>
              <w:t>HASTA 100 PUNTOS</w:t>
            </w:r>
          </w:p>
          <w:p w:rsidR="007E1F0C" w:rsidRDefault="007E1F0C">
            <w:pPr>
              <w:jc w:val="both"/>
              <w:rPr>
                <w:b/>
              </w:rPr>
            </w:pPr>
          </w:p>
          <w:p w:rsidR="007E1F0C" w:rsidRDefault="0038184C">
            <w:pPr>
              <w:jc w:val="both"/>
            </w:pPr>
            <w:r>
              <w:rPr>
                <w:b/>
              </w:rPr>
              <w:t>Parágrafo:</w:t>
            </w:r>
            <w:r>
              <w:t xml:space="preserve"> El puntaje asignado es acumulable, para la determinación de estos se hace necesario contar con los certificados que acreditan tanto la formación como experiencia del candidato.</w:t>
            </w:r>
          </w:p>
          <w:p w:rsidR="007E1F0C" w:rsidRDefault="007E1F0C">
            <w:pPr>
              <w:jc w:val="both"/>
            </w:pPr>
          </w:p>
        </w:tc>
      </w:tr>
      <w:tr w:rsidR="007E1F0C">
        <w:trPr>
          <w:trHeight w:val="356"/>
          <w:jc w:val="center"/>
        </w:trPr>
        <w:tc>
          <w:tcPr>
            <w:tcW w:w="10790" w:type="dxa"/>
            <w:gridSpan w:val="4"/>
            <w:shd w:val="clear" w:color="auto" w:fill="E2EFD9"/>
            <w:vAlign w:val="center"/>
          </w:tcPr>
          <w:p w:rsidR="007E1F0C" w:rsidRDefault="0038184C">
            <w:pPr>
              <w:jc w:val="center"/>
              <w:rPr>
                <w:b/>
              </w:rPr>
            </w:pPr>
            <w:r>
              <w:rPr>
                <w:b/>
              </w:rPr>
              <w:lastRenderedPageBreak/>
              <w:t>ORDEN DE ELEGIBILIDAD</w:t>
            </w:r>
          </w:p>
        </w:tc>
      </w:tr>
      <w:tr w:rsidR="007E1F0C">
        <w:trPr>
          <w:trHeight w:val="800"/>
          <w:jc w:val="center"/>
        </w:trPr>
        <w:tc>
          <w:tcPr>
            <w:tcW w:w="10790" w:type="dxa"/>
            <w:gridSpan w:val="4"/>
            <w:vAlign w:val="center"/>
          </w:tcPr>
          <w:p w:rsidR="007E1F0C" w:rsidRDefault="0038184C">
            <w:p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tc>
      </w:tr>
      <w:tr w:rsidR="007E1F0C">
        <w:trPr>
          <w:trHeight w:val="472"/>
          <w:jc w:val="center"/>
        </w:trPr>
        <w:tc>
          <w:tcPr>
            <w:tcW w:w="10790" w:type="dxa"/>
            <w:gridSpan w:val="4"/>
            <w:shd w:val="clear" w:color="auto" w:fill="E2EFD9"/>
            <w:vAlign w:val="center"/>
          </w:tcPr>
          <w:p w:rsidR="007E1F0C" w:rsidRDefault="0038184C">
            <w:pPr>
              <w:jc w:val="center"/>
              <w:rPr>
                <w:b/>
              </w:rPr>
            </w:pPr>
            <w:r>
              <w:rPr>
                <w:b/>
              </w:rPr>
              <w:t>CRITERIOS DE DESEMPATE</w:t>
            </w:r>
          </w:p>
        </w:tc>
      </w:tr>
      <w:tr w:rsidR="007E1F0C">
        <w:trPr>
          <w:trHeight w:val="1550"/>
          <w:jc w:val="center"/>
        </w:trPr>
        <w:tc>
          <w:tcPr>
            <w:tcW w:w="10790" w:type="dxa"/>
            <w:gridSpan w:val="4"/>
            <w:shd w:val="clear" w:color="auto" w:fill="FFFFFF"/>
          </w:tcPr>
          <w:p w:rsidR="007E1F0C" w:rsidRDefault="0038184C">
            <w:pPr>
              <w:numPr>
                <w:ilvl w:val="0"/>
                <w:numId w:val="6"/>
              </w:numPr>
            </w:pPr>
            <w:r>
              <w:t>Con el aspirante que se encuentre en situación de discapacidad</w:t>
            </w:r>
          </w:p>
          <w:p w:rsidR="007E1F0C" w:rsidRDefault="0038184C">
            <w:pPr>
              <w:numPr>
                <w:ilvl w:val="0"/>
                <w:numId w:val="6"/>
              </w:numPr>
            </w:pPr>
            <w:r>
              <w:t>Con el aspirante que demuestre la calidad de víctima, conforme a lo descrito en el artículo 131 de la Ley 1448 de 2011.</w:t>
            </w:r>
          </w:p>
          <w:p w:rsidR="007E1F0C" w:rsidRDefault="0038184C">
            <w:pPr>
              <w:numPr>
                <w:ilvl w:val="0"/>
                <w:numId w:val="6"/>
              </w:numPr>
            </w:pPr>
            <w:r>
              <w:t>Con quien demuestre haber cumplido con el deber de votar en las elecciones inmediatamente anteriores, en los términos señalados en el artículo 2 numeral 3 de la Ley 4O3 de 1997</w:t>
            </w:r>
          </w:p>
          <w:p w:rsidR="007E1F0C" w:rsidRDefault="007E1F0C">
            <w:pPr>
              <w:jc w:val="both"/>
            </w:pPr>
          </w:p>
        </w:tc>
      </w:tr>
      <w:tr w:rsidR="007E1F0C">
        <w:trPr>
          <w:trHeight w:val="227"/>
          <w:jc w:val="center"/>
        </w:trPr>
        <w:tc>
          <w:tcPr>
            <w:tcW w:w="10790" w:type="dxa"/>
            <w:gridSpan w:val="4"/>
            <w:shd w:val="clear" w:color="auto" w:fill="E2EFD9"/>
            <w:vAlign w:val="center"/>
          </w:tcPr>
          <w:p w:rsidR="007E1F0C" w:rsidRDefault="0038184C">
            <w:pPr>
              <w:jc w:val="center"/>
              <w:rPr>
                <w:b/>
              </w:rPr>
            </w:pPr>
            <w:r>
              <w:rPr>
                <w:b/>
              </w:rPr>
              <w:t>CAUSALES DE EXCLUSIÓN</w:t>
            </w:r>
          </w:p>
        </w:tc>
      </w:tr>
      <w:tr w:rsidR="007E1F0C">
        <w:trPr>
          <w:trHeight w:val="346"/>
          <w:jc w:val="center"/>
        </w:trPr>
        <w:tc>
          <w:tcPr>
            <w:tcW w:w="10790" w:type="dxa"/>
            <w:gridSpan w:val="4"/>
            <w:shd w:val="clear" w:color="auto" w:fill="auto"/>
          </w:tcPr>
          <w:p w:rsidR="007E1F0C" w:rsidRDefault="0038184C">
            <w:pPr>
              <w:jc w:val="both"/>
            </w:pPr>
            <w:r>
              <w:t>Se producirá exclusión del aspirante en cualquier etapa del proceso, si incurre en una de las siguientes faltas:</w:t>
            </w:r>
          </w:p>
          <w:p w:rsidR="007E1F0C" w:rsidRDefault="007E1F0C">
            <w:pPr>
              <w:jc w:val="both"/>
            </w:pPr>
          </w:p>
          <w:p w:rsidR="007E1F0C" w:rsidRDefault="0038184C">
            <w:pPr>
              <w:numPr>
                <w:ilvl w:val="0"/>
                <w:numId w:val="4"/>
              </w:numPr>
              <w:pBdr>
                <w:top w:val="nil"/>
                <w:left w:val="nil"/>
                <w:bottom w:val="nil"/>
                <w:right w:val="nil"/>
                <w:between w:val="nil"/>
              </w:pBdr>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rsidR="007E1F0C" w:rsidRDefault="0038184C">
            <w:pPr>
              <w:numPr>
                <w:ilvl w:val="0"/>
                <w:numId w:val="4"/>
              </w:numPr>
              <w:pBdr>
                <w:top w:val="nil"/>
                <w:left w:val="nil"/>
                <w:bottom w:val="nil"/>
                <w:right w:val="nil"/>
                <w:between w:val="nil"/>
              </w:pBdr>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rsidR="007E1F0C" w:rsidRDefault="0038184C">
            <w:pPr>
              <w:numPr>
                <w:ilvl w:val="0"/>
                <w:numId w:val="4"/>
              </w:numPr>
              <w:pBdr>
                <w:top w:val="nil"/>
                <w:left w:val="nil"/>
                <w:bottom w:val="nil"/>
                <w:right w:val="nil"/>
                <w:between w:val="nil"/>
              </w:pBdr>
              <w:jc w:val="both"/>
              <w:rPr>
                <w:color w:val="000000"/>
              </w:rPr>
            </w:pPr>
            <w:r>
              <w:rPr>
                <w:color w:val="000000"/>
              </w:rPr>
              <w:t>La información o documentación entregada no sea veraz o se observen presuntas falsedades o inconsistencias o contradicciones entre varios documentos.</w:t>
            </w:r>
          </w:p>
          <w:p w:rsidR="007E1F0C" w:rsidRDefault="0038184C">
            <w:pPr>
              <w:numPr>
                <w:ilvl w:val="0"/>
                <w:numId w:val="4"/>
              </w:numPr>
              <w:pBdr>
                <w:top w:val="nil"/>
                <w:left w:val="nil"/>
                <w:bottom w:val="nil"/>
                <w:right w:val="nil"/>
                <w:between w:val="nil"/>
              </w:pBdr>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rsidR="007E1F0C" w:rsidRDefault="0038184C">
            <w:pPr>
              <w:numPr>
                <w:ilvl w:val="0"/>
                <w:numId w:val="4"/>
              </w:numPr>
              <w:pBdr>
                <w:top w:val="nil"/>
                <w:left w:val="nil"/>
                <w:bottom w:val="nil"/>
                <w:right w:val="nil"/>
                <w:between w:val="nil"/>
              </w:pBdr>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tc>
      </w:tr>
      <w:tr w:rsidR="007E1F0C">
        <w:trPr>
          <w:trHeight w:val="57"/>
          <w:jc w:val="center"/>
        </w:trPr>
        <w:tc>
          <w:tcPr>
            <w:tcW w:w="10790" w:type="dxa"/>
            <w:gridSpan w:val="4"/>
            <w:shd w:val="clear" w:color="auto" w:fill="E2EFD9"/>
            <w:vAlign w:val="center"/>
          </w:tcPr>
          <w:p w:rsidR="007E1F0C" w:rsidRDefault="0038184C">
            <w:pPr>
              <w:jc w:val="center"/>
              <w:rPr>
                <w:b/>
              </w:rPr>
            </w:pPr>
            <w:r>
              <w:rPr>
                <w:b/>
              </w:rPr>
              <w:t>DECLARACIÓN DE DESIERTA</w:t>
            </w:r>
          </w:p>
        </w:tc>
      </w:tr>
      <w:tr w:rsidR="007E1F0C">
        <w:trPr>
          <w:trHeight w:val="346"/>
          <w:jc w:val="center"/>
        </w:trPr>
        <w:tc>
          <w:tcPr>
            <w:tcW w:w="10790" w:type="dxa"/>
            <w:gridSpan w:val="4"/>
            <w:shd w:val="clear" w:color="auto" w:fill="FFFFFF"/>
          </w:tcPr>
          <w:p w:rsidR="007E1F0C" w:rsidRDefault="0038184C">
            <w:pPr>
              <w:widowControl w:val="0"/>
              <w:tabs>
                <w:tab w:val="left" w:pos="709"/>
              </w:tabs>
              <w:jc w:val="both"/>
            </w:pPr>
            <w:r>
              <w:t>La UNIVERSIDAD declarará desierto el Proceso de Contratación en los siguientes eventos:</w:t>
            </w:r>
          </w:p>
          <w:p w:rsidR="007E1F0C" w:rsidRDefault="007E1F0C">
            <w:pPr>
              <w:widowControl w:val="0"/>
              <w:tabs>
                <w:tab w:val="left" w:pos="709"/>
              </w:tabs>
              <w:jc w:val="both"/>
            </w:pPr>
          </w:p>
          <w:p w:rsidR="007E1F0C" w:rsidRDefault="0038184C">
            <w:pPr>
              <w:numPr>
                <w:ilvl w:val="0"/>
                <w:numId w:val="5"/>
              </w:numPr>
              <w:pBdr>
                <w:top w:val="nil"/>
                <w:left w:val="nil"/>
                <w:bottom w:val="nil"/>
                <w:right w:val="nil"/>
                <w:between w:val="nil"/>
              </w:pBdr>
              <w:ind w:left="709"/>
              <w:jc w:val="both"/>
              <w:rPr>
                <w:color w:val="000000"/>
              </w:rPr>
            </w:pPr>
            <w:r>
              <w:rPr>
                <w:color w:val="000000"/>
              </w:rPr>
              <w:t>Por motivos que impidan la escogencia del mejor PROPONENTE.</w:t>
            </w:r>
          </w:p>
          <w:p w:rsidR="007E1F0C" w:rsidRDefault="0038184C">
            <w:pPr>
              <w:numPr>
                <w:ilvl w:val="0"/>
                <w:numId w:val="5"/>
              </w:numPr>
              <w:pBdr>
                <w:top w:val="nil"/>
                <w:left w:val="nil"/>
                <w:bottom w:val="nil"/>
                <w:right w:val="nil"/>
                <w:between w:val="nil"/>
              </w:pBdr>
              <w:ind w:left="709"/>
              <w:jc w:val="both"/>
              <w:rPr>
                <w:color w:val="000000"/>
              </w:rPr>
            </w:pPr>
            <w:r>
              <w:rPr>
                <w:color w:val="000000"/>
              </w:rPr>
              <w:t>Porque sobrevengan razones de fuerza mayor o caso fortuito.</w:t>
            </w:r>
          </w:p>
          <w:p w:rsidR="007E1F0C" w:rsidRDefault="0038184C">
            <w:pPr>
              <w:numPr>
                <w:ilvl w:val="0"/>
                <w:numId w:val="5"/>
              </w:numPr>
              <w:pBdr>
                <w:top w:val="nil"/>
                <w:left w:val="nil"/>
                <w:bottom w:val="nil"/>
                <w:right w:val="nil"/>
                <w:between w:val="nil"/>
              </w:pBdr>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rsidR="007E1F0C" w:rsidRDefault="0038184C">
            <w:pPr>
              <w:numPr>
                <w:ilvl w:val="0"/>
                <w:numId w:val="5"/>
              </w:numPr>
              <w:pBdr>
                <w:top w:val="nil"/>
                <w:left w:val="nil"/>
                <w:bottom w:val="nil"/>
                <w:right w:val="nil"/>
                <w:between w:val="nil"/>
              </w:pBdr>
              <w:ind w:left="709"/>
              <w:jc w:val="both"/>
              <w:rPr>
                <w:color w:val="000000"/>
              </w:rPr>
            </w:pPr>
            <w:r>
              <w:rPr>
                <w:color w:val="000000"/>
              </w:rPr>
              <w:t xml:space="preserve">Por no </w:t>
            </w:r>
            <w:r>
              <w:t>presentarse ninguna</w:t>
            </w:r>
            <w:r>
              <w:rPr>
                <w:color w:val="000000"/>
              </w:rPr>
              <w:t xml:space="preserve"> </w:t>
            </w:r>
            <w:r>
              <w:t>propuesta</w:t>
            </w:r>
            <w:r>
              <w:rPr>
                <w:color w:val="000000"/>
              </w:rPr>
              <w:t>.</w:t>
            </w:r>
          </w:p>
          <w:p w:rsidR="007E1F0C" w:rsidRDefault="0038184C">
            <w:pPr>
              <w:numPr>
                <w:ilvl w:val="0"/>
                <w:numId w:val="5"/>
              </w:numPr>
              <w:pBdr>
                <w:top w:val="nil"/>
                <w:left w:val="nil"/>
                <w:bottom w:val="nil"/>
                <w:right w:val="nil"/>
                <w:between w:val="nil"/>
              </w:pBdr>
              <w:spacing w:after="160"/>
              <w:ind w:left="709"/>
              <w:jc w:val="both"/>
            </w:pPr>
            <w:r>
              <w:rPr>
                <w:color w:val="000000"/>
              </w:rPr>
              <w:t xml:space="preserve">Por no resultar habilitada ninguna </w:t>
            </w:r>
            <w:r>
              <w:t>p</w:t>
            </w:r>
            <w:r>
              <w:rPr>
                <w:color w:val="000000"/>
              </w:rPr>
              <w:t>ropuesta.</w:t>
            </w:r>
          </w:p>
        </w:tc>
      </w:tr>
      <w:tr w:rsidR="007E1F0C">
        <w:trPr>
          <w:trHeight w:val="346"/>
          <w:jc w:val="center"/>
        </w:trPr>
        <w:tc>
          <w:tcPr>
            <w:tcW w:w="10790" w:type="dxa"/>
            <w:gridSpan w:val="4"/>
            <w:shd w:val="clear" w:color="auto" w:fill="E2EFD9"/>
            <w:vAlign w:val="center"/>
          </w:tcPr>
          <w:p w:rsidR="007E1F0C" w:rsidRDefault="0038184C">
            <w:pPr>
              <w:pBdr>
                <w:top w:val="nil"/>
                <w:left w:val="nil"/>
                <w:bottom w:val="nil"/>
                <w:right w:val="nil"/>
                <w:between w:val="nil"/>
              </w:pBdr>
              <w:ind w:left="720"/>
              <w:jc w:val="center"/>
              <w:rPr>
                <w:b/>
                <w:color w:val="000000"/>
              </w:rPr>
            </w:pPr>
            <w:r>
              <w:rPr>
                <w:b/>
                <w:color w:val="000000"/>
              </w:rPr>
              <w:t>DOCUMENTACIÓN REQUERIDA</w:t>
            </w:r>
          </w:p>
        </w:tc>
      </w:tr>
      <w:tr w:rsidR="007E1F0C">
        <w:trPr>
          <w:trHeight w:val="346"/>
          <w:jc w:val="center"/>
        </w:trPr>
        <w:tc>
          <w:tcPr>
            <w:tcW w:w="10790" w:type="dxa"/>
            <w:gridSpan w:val="4"/>
            <w:shd w:val="clear" w:color="auto" w:fill="FFFFFF"/>
          </w:tcPr>
          <w:p w:rsidR="007E1F0C" w:rsidRDefault="0038184C">
            <w:pPr>
              <w:pBdr>
                <w:top w:val="nil"/>
                <w:left w:val="nil"/>
                <w:bottom w:val="nil"/>
                <w:right w:val="nil"/>
                <w:between w:val="nil"/>
              </w:pBdr>
              <w:jc w:val="both"/>
              <w:rPr>
                <w:color w:val="000000"/>
              </w:rPr>
            </w:pPr>
            <w:r>
              <w:rPr>
                <w:color w:val="000000"/>
              </w:rPr>
              <w:t>El PROPONENTE seleccionado deberá aportar los siguientes documentos:</w:t>
            </w:r>
          </w:p>
          <w:p w:rsidR="007E1F0C" w:rsidRDefault="007E1F0C">
            <w:pPr>
              <w:jc w:val="both"/>
              <w:rPr>
                <w:highlight w:val="cyan"/>
              </w:rPr>
            </w:pPr>
          </w:p>
          <w:p w:rsidR="007E1F0C" w:rsidRDefault="0038184C">
            <w:pPr>
              <w:numPr>
                <w:ilvl w:val="0"/>
                <w:numId w:val="1"/>
              </w:numPr>
              <w:pBdr>
                <w:top w:val="nil"/>
                <w:left w:val="nil"/>
                <w:bottom w:val="nil"/>
                <w:right w:val="nil"/>
                <w:between w:val="nil"/>
              </w:pBdr>
              <w:jc w:val="both"/>
            </w:pPr>
            <w:r>
              <w:t>Formato único - Hoja de Vida</w:t>
            </w:r>
          </w:p>
          <w:p w:rsidR="007E1F0C" w:rsidRDefault="0038184C">
            <w:pPr>
              <w:numPr>
                <w:ilvl w:val="0"/>
                <w:numId w:val="1"/>
              </w:numPr>
              <w:pBdr>
                <w:top w:val="nil"/>
                <w:left w:val="nil"/>
                <w:bottom w:val="nil"/>
                <w:right w:val="nil"/>
                <w:between w:val="nil"/>
              </w:pBdr>
              <w:jc w:val="both"/>
            </w:pPr>
            <w:r>
              <w:t>Fotocopia legible de la cédula de ciudadanía</w:t>
            </w:r>
          </w:p>
          <w:p w:rsidR="007E1F0C" w:rsidRDefault="0038184C">
            <w:pPr>
              <w:numPr>
                <w:ilvl w:val="0"/>
                <w:numId w:val="1"/>
              </w:numPr>
              <w:pBdr>
                <w:top w:val="nil"/>
                <w:left w:val="nil"/>
                <w:bottom w:val="nil"/>
                <w:right w:val="nil"/>
                <w:between w:val="nil"/>
              </w:pBdr>
              <w:jc w:val="both"/>
            </w:pPr>
            <w:r>
              <w:t>Copia de los títulos de estudio de educación formal</w:t>
            </w:r>
          </w:p>
          <w:p w:rsidR="007E1F0C" w:rsidRDefault="0038184C">
            <w:pPr>
              <w:numPr>
                <w:ilvl w:val="0"/>
                <w:numId w:val="1"/>
              </w:numPr>
              <w:pBdr>
                <w:top w:val="nil"/>
                <w:left w:val="nil"/>
                <w:bottom w:val="nil"/>
                <w:right w:val="nil"/>
                <w:between w:val="nil"/>
              </w:pBdr>
              <w:jc w:val="both"/>
            </w:pPr>
            <w:r>
              <w:t>Formato único declaración juramentada de bienes y rentas</w:t>
            </w:r>
          </w:p>
          <w:p w:rsidR="007E1F0C" w:rsidRDefault="0038184C">
            <w:pPr>
              <w:numPr>
                <w:ilvl w:val="0"/>
                <w:numId w:val="1"/>
              </w:numPr>
              <w:pBdr>
                <w:top w:val="nil"/>
                <w:left w:val="nil"/>
                <w:bottom w:val="nil"/>
                <w:right w:val="nil"/>
                <w:between w:val="nil"/>
              </w:pBdr>
              <w:jc w:val="both"/>
            </w:pPr>
            <w:r>
              <w:t xml:space="preserve">Copia del Registro Único Tributario –RUT- (con vigencia de un año) </w:t>
            </w:r>
          </w:p>
          <w:p w:rsidR="007E1F0C" w:rsidRDefault="0038184C">
            <w:pPr>
              <w:numPr>
                <w:ilvl w:val="0"/>
                <w:numId w:val="1"/>
              </w:numPr>
              <w:pBdr>
                <w:top w:val="nil"/>
                <w:left w:val="nil"/>
                <w:bottom w:val="nil"/>
                <w:right w:val="nil"/>
                <w:between w:val="nil"/>
              </w:pBdr>
              <w:jc w:val="both"/>
            </w:pPr>
            <w:r>
              <w:t>Copia de la matrícula, tarjeta o registro profesional en los casos que sea aplicable</w:t>
            </w:r>
          </w:p>
          <w:p w:rsidR="007E1F0C" w:rsidRDefault="0038184C">
            <w:pPr>
              <w:numPr>
                <w:ilvl w:val="0"/>
                <w:numId w:val="1"/>
              </w:numPr>
              <w:pBdr>
                <w:top w:val="nil"/>
                <w:left w:val="nil"/>
                <w:bottom w:val="nil"/>
                <w:right w:val="nil"/>
                <w:between w:val="nil"/>
              </w:pBdr>
              <w:jc w:val="both"/>
            </w:pPr>
            <w:r>
              <w:t>Certificado de afiliación a los subsistemas de Salud, Pensión y Riesgos Profesionales.</w:t>
            </w:r>
          </w:p>
          <w:p w:rsidR="007E1F0C" w:rsidRDefault="0038184C">
            <w:pPr>
              <w:numPr>
                <w:ilvl w:val="0"/>
                <w:numId w:val="1"/>
              </w:numPr>
              <w:pBdr>
                <w:top w:val="nil"/>
                <w:left w:val="nil"/>
                <w:bottom w:val="nil"/>
                <w:right w:val="nil"/>
                <w:between w:val="nil"/>
              </w:pBdr>
              <w:jc w:val="both"/>
            </w:pPr>
            <w:r>
              <w:t>Formato verificación de antecedentes y otros.</w:t>
            </w:r>
          </w:p>
          <w:p w:rsidR="007E1F0C" w:rsidRDefault="0038184C">
            <w:pPr>
              <w:numPr>
                <w:ilvl w:val="0"/>
                <w:numId w:val="1"/>
              </w:numPr>
              <w:pBdr>
                <w:top w:val="nil"/>
                <w:left w:val="nil"/>
                <w:bottom w:val="nil"/>
                <w:right w:val="nil"/>
                <w:between w:val="nil"/>
              </w:pBdr>
              <w:jc w:val="both"/>
            </w:pPr>
            <w:r>
              <w:t>Certificado de cuenta bancaria propia (del contratista)</w:t>
            </w:r>
          </w:p>
          <w:p w:rsidR="007E1F0C" w:rsidRDefault="0038184C">
            <w:pPr>
              <w:numPr>
                <w:ilvl w:val="0"/>
                <w:numId w:val="1"/>
              </w:numPr>
              <w:pBdr>
                <w:top w:val="nil"/>
                <w:left w:val="nil"/>
                <w:bottom w:val="nil"/>
                <w:right w:val="nil"/>
                <w:between w:val="nil"/>
              </w:pBdr>
              <w:jc w:val="both"/>
            </w:pPr>
            <w:r>
              <w:t>Libreta militar (entre los 18 y 28 años no se exige)</w:t>
            </w:r>
          </w:p>
          <w:p w:rsidR="007E1F0C" w:rsidRDefault="0038184C">
            <w:pPr>
              <w:numPr>
                <w:ilvl w:val="0"/>
                <w:numId w:val="1"/>
              </w:numPr>
              <w:pBdr>
                <w:top w:val="nil"/>
                <w:left w:val="nil"/>
                <w:bottom w:val="nil"/>
                <w:right w:val="nil"/>
                <w:between w:val="nil"/>
              </w:pBdr>
              <w:jc w:val="both"/>
            </w:pPr>
            <w:r>
              <w:t>Examen médico pre-ocupacional vigente.</w:t>
            </w:r>
          </w:p>
        </w:tc>
      </w:tr>
      <w:tr w:rsidR="007E1F0C">
        <w:trPr>
          <w:trHeight w:val="346"/>
          <w:jc w:val="center"/>
        </w:trPr>
        <w:tc>
          <w:tcPr>
            <w:tcW w:w="10790" w:type="dxa"/>
            <w:gridSpan w:val="4"/>
            <w:shd w:val="clear" w:color="auto" w:fill="E2EFD9"/>
            <w:vAlign w:val="center"/>
          </w:tcPr>
          <w:p w:rsidR="007E1F0C" w:rsidRDefault="0038184C">
            <w:pPr>
              <w:pBdr>
                <w:top w:val="nil"/>
                <w:left w:val="nil"/>
                <w:bottom w:val="nil"/>
                <w:right w:val="nil"/>
                <w:between w:val="nil"/>
              </w:pBdr>
              <w:ind w:left="720"/>
              <w:jc w:val="center"/>
              <w:rPr>
                <w:b/>
                <w:color w:val="000000"/>
              </w:rPr>
            </w:pPr>
            <w:r>
              <w:rPr>
                <w:b/>
              </w:rPr>
              <w:t>Prohibiciones</w:t>
            </w:r>
          </w:p>
        </w:tc>
      </w:tr>
      <w:tr w:rsidR="007E1F0C">
        <w:trPr>
          <w:trHeight w:val="346"/>
          <w:jc w:val="center"/>
        </w:trPr>
        <w:tc>
          <w:tcPr>
            <w:tcW w:w="10790" w:type="dxa"/>
            <w:gridSpan w:val="4"/>
          </w:tcPr>
          <w:p w:rsidR="007E1F0C" w:rsidRDefault="0038184C">
            <w:pPr>
              <w:jc w:val="both"/>
              <w:rPr>
                <w:i/>
              </w:rPr>
            </w:pPr>
            <w:r>
              <w:lastRenderedPageBreak/>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rsidR="007E1F0C" w:rsidRDefault="007E1F0C">
            <w:pPr>
              <w:jc w:val="both"/>
              <w:rPr>
                <w:i/>
              </w:rPr>
            </w:pPr>
          </w:p>
          <w:p w:rsidR="007E1F0C" w:rsidRDefault="0038184C">
            <w:pPr>
              <w:jc w:val="both"/>
              <w:rPr>
                <w:i/>
              </w:rPr>
            </w:pPr>
            <w:r>
              <w:rPr>
                <w:i/>
              </w:rPr>
              <w:t>Entiéndese por tesoro público el de la Nación, el de las entidades territoriales y el de las descentralizadas.”</w:t>
            </w:r>
          </w:p>
          <w:p w:rsidR="007E1F0C" w:rsidRDefault="007E1F0C"/>
          <w:p w:rsidR="007E1F0C" w:rsidRDefault="0038184C">
            <w:r>
              <w:t>La Resolución Rectoral 44964 del 24 de octubre de 2018 define en el artículo 19 “Coexistencia. Una persona natural no podrá tener más de tres (3) contratos de prestación de servicios de ejecución personal vigentes con la Universidad de Antioquia.”</w:t>
            </w:r>
          </w:p>
          <w:p w:rsidR="007E1F0C" w:rsidRDefault="007E1F0C">
            <w:pPr>
              <w:rPr>
                <w:b/>
              </w:rPr>
            </w:pPr>
          </w:p>
          <w:p w:rsidR="007E1F0C" w:rsidRDefault="0038184C">
            <w:r>
              <w:rPr>
                <w:b/>
              </w:rPr>
              <w:t>Nota</w:t>
            </w:r>
            <w:r>
              <w:t>: En caso de que se presente alguna de las prohibiciones a pesar de ser seleccionado no se podrá suscribir el contrato de prestación de servicios.</w:t>
            </w:r>
          </w:p>
        </w:tc>
      </w:tr>
    </w:tbl>
    <w:p w:rsidR="007E1F0C" w:rsidRDefault="007E1F0C">
      <w:pPr>
        <w:spacing w:line="240" w:lineRule="auto"/>
      </w:pPr>
    </w:p>
    <w:sectPr w:rsidR="007E1F0C">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A21"/>
    <w:multiLevelType w:val="multilevel"/>
    <w:tmpl w:val="E70C4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85427"/>
    <w:multiLevelType w:val="multilevel"/>
    <w:tmpl w:val="3126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736319"/>
    <w:multiLevelType w:val="multilevel"/>
    <w:tmpl w:val="EC984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D8197C"/>
    <w:multiLevelType w:val="multilevel"/>
    <w:tmpl w:val="C52E2FC4"/>
    <w:lvl w:ilvl="0">
      <w:start w:val="1"/>
      <w:numFmt w:val="decimal"/>
      <w:lvlText w:val="%1."/>
      <w:lvlJc w:val="left"/>
      <w:pPr>
        <w:ind w:left="360" w:hanging="360"/>
      </w:pPr>
      <w:rPr>
        <w:rFonts w:ascii="Calibri" w:eastAsia="Calibri" w:hAnsi="Calibri" w:cs="Calibri"/>
        <w:b w:val="0"/>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abstractNum w:abstractNumId="4" w15:restartNumberingAfterBreak="0">
    <w:nsid w:val="6C4F6126"/>
    <w:multiLevelType w:val="multilevel"/>
    <w:tmpl w:val="999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CE336E"/>
    <w:multiLevelType w:val="multilevel"/>
    <w:tmpl w:val="6930C7C6"/>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0C"/>
    <w:rsid w:val="0038184C"/>
    <w:rsid w:val="007E1F0C"/>
    <w:rsid w:val="009347E3"/>
    <w:rsid w:val="00EA22E3"/>
    <w:rsid w:val="00F765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CDE7-515F-4A42-A874-C05FA766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7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eo.cree@udea.edu.co" TargetMode="External"/><Relationship Id="rId3" Type="http://schemas.openxmlformats.org/officeDocument/2006/relationships/settings" Target="settings.xml"/><Relationship Id="rId7" Type="http://schemas.openxmlformats.org/officeDocument/2006/relationships/hyperlink" Target="mailto:cleo.cree@ude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a.edu.c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HIGUITA ROMAN</dc:creator>
  <cp:lastModifiedBy>JUAN SEBASTIAN HIGUITA ROMAN</cp:lastModifiedBy>
  <cp:revision>2</cp:revision>
  <dcterms:created xsi:type="dcterms:W3CDTF">2022-03-30T19:25:00Z</dcterms:created>
  <dcterms:modified xsi:type="dcterms:W3CDTF">2022-03-30T19:25:00Z</dcterms:modified>
</cp:coreProperties>
</file>